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2400"/>
        <w:jc w:val="center"/>
      </w:pPr>
      <w:r>
        <w:rPr>
          <w:rFonts w:ascii="Times New Roman" w:hAnsi="Times New Roman"/>
          <w:b/>
          <w:sz w:val="32"/>
        </w:rPr>
        <w:t>On-Premises Home Lab Infrastructure Validation</w:t>
      </w:r>
    </w:p>
    <w:p>
      <w:pPr>
        <w:spacing w:before="360"/>
        <w:jc w:val="center"/>
      </w:pPr>
      <w:r>
        <w:rPr>
          <w:rFonts w:ascii="Times New Roman" w:hAnsi="Times New Roman"/>
          <w:b w:val="0"/>
          <w:sz w:val="28"/>
        </w:rPr>
        <w:t>Design, Implementation, Administration, Security, and Evidence Integrity</w:t>
      </w:r>
    </w:p>
    <w:p>
      <w:pPr>
        <w:spacing w:before="1600"/>
        <w:jc w:val="center"/>
      </w:pPr>
      <w:r>
        <w:rPr>
          <w:rFonts w:ascii="Times New Roman" w:hAnsi="Times New Roman"/>
          <w:b/>
          <w:sz w:val="24"/>
        </w:rPr>
        <w:t>Jeremy Fontenot</w:t>
      </w:r>
    </w:p>
    <w:p>
      <w:pPr>
        <w:spacing w:before="240"/>
        <w:jc w:val="center"/>
      </w:pPr>
      <w:r>
        <w:rPr>
          <w:rFonts w:ascii="Times New Roman" w:hAnsi="Times New Roman"/>
          <w:b w:val="0"/>
          <w:sz w:val="24"/>
        </w:rPr>
        <w:t>Professional Technical Portfolio Documentation</w:t>
      </w:r>
    </w:p>
    <w:p>
      <w:pPr>
        <w:spacing w:before="240"/>
        <w:jc w:val="center"/>
      </w:pPr>
      <w:r>
        <w:rPr>
          <w:rFonts w:ascii="Times New Roman" w:hAnsi="Times New Roman"/>
          <w:b w:val="0"/>
          <w:sz w:val="24"/>
        </w:rPr>
        <w:t>jeremyfontenot.online</w:t>
      </w:r>
    </w:p>
    <w:p>
      <w:pPr>
        <w:spacing w:before="240"/>
        <w:jc w:val="center"/>
      </w:pPr>
      <w:r>
        <w:rPr>
          <w:rFonts w:ascii="Times New Roman" w:hAnsi="Times New Roman"/>
          <w:b w:val="0"/>
          <w:sz w:val="24"/>
        </w:rPr>
        <w:t>June 21, 2026</w:t>
      </w:r>
    </w:p>
    <w:p>
      <w:r>
        <w:br w:type="page"/>
      </w:r>
    </w:p>
    <w:p>
      <w:pPr>
        <w:pStyle w:val="Heading1"/>
      </w:pPr>
      <w:r>
        <w:t>Abstract</w:t>
      </w:r>
    </w:p>
    <w:p>
      <w:pPr>
        <w:ind w:firstLine="720"/>
      </w:pPr>
      <w:r>
        <w:t>I designed, implemented, secured, and validated a segmented on-premises home lab using a Dell PowerEdge R710, Proxmox VE, pfSense, Windows Server 2022, a Windows workstation, and Ubuntu Server. The environment provides virtualization, network segmentation, Active Directory Domain Services, DNS, DHCP, Group Policy, remote administration, Linux domain integration, firewall controls, snapshots, scheduled backups, and evidence-integrity validation. This document consolidates command-validated evidence exported from the Proxmox host and Linux01 together with screenshots captured during implementation and validation. Evidence files were hashed with SHA-256, packaged, transferred, and reverified to demonstrate traceability and resistance to accidental modification.</w:t>
      </w:r>
    </w:p>
    <w:p>
      <w:pPr>
        <w:ind w:firstLine="720"/>
      </w:pPr>
      <w:r>
        <w:rPr>
          <w:b/>
        </w:rPr>
        <w:t xml:space="preserve">Keywords: </w:t>
      </w:r>
      <w:r>
        <w:t>Proxmox VE, pfSense, Windows Server 2022, Active Directory, DNS, DHCP, Group Policy, Ubuntu Server, SSSD, Kerberos, virtualization, backups, SHA-256</w:t>
      </w:r>
    </w:p>
    <w:p>
      <w:r>
        <w:br w:type="page"/>
      </w:r>
    </w:p>
    <w:p>
      <w:pPr>
        <w:pStyle w:val="Heading1"/>
      </w:pPr>
      <w:r>
        <w:t>Table of Contents</w:t>
      </w:r>
    </w:p>
    <w:p>
      <w:r>
        <w:fldChar w:fldCharType="begin"/>
        <w:instrText xml:space="preserve">TOC \o "1-3" \h \z \u</w:instrText>
        <w:fldChar w:fldCharType="separate"/>
        <w:t>Update this field in Microsoft Word to populate the table of contents.</w:t>
        <w:fldChar w:fldCharType="end"/>
      </w:r>
    </w:p>
    <w:p>
      <w:r>
        <w:br w:type="page"/>
      </w:r>
    </w:p>
    <w:p>
      <w:pPr>
        <w:pStyle w:val="Heading1"/>
      </w:pPr>
      <w:r>
        <w:t>Executive Summary</w:t>
      </w:r>
    </w:p>
    <w:p>
      <w:pPr>
        <w:ind w:firstLine="720"/>
      </w:pPr>
      <w:r>
        <w:t>The lab is a small-enterprise simulation rather than a collection of unrelated virtual machines. Proxmox VE provides the virtualization and storage layer. pfSense separates the upstream household network from an isolated 10.10.20.0/24 internal lab network. DC01 provides Active Directory, DNS, DHCP, and Group Policy. WS01 is a domain workstation used for validation. Linux01 extends the environment into Ubuntu administration, Active Directory integration, Kerberos, SSSD, SSH, UFW, sudo delegation, and guest-agent management.</w:t>
      </w:r>
    </w:p>
    <w:p>
      <w:pPr>
        <w:ind w:firstLine="720"/>
      </w:pPr>
      <w:r>
        <w:t>The June 21, 2026 evidence collection confirms the host, network bridges, storage, VM configurations, snapshots, scheduled backups, Linux01 configuration, and evidence hashes. A consolidated archive was copied to a dedicated backup disk and independently rehashed. The resulting documentation is intended as portfolio evidence of practical systems, network, identity, security, backup, and documentation skills.</w:t>
      </w:r>
    </w:p>
    <w:p>
      <w:pPr>
        <w:pStyle w:val="Heading1"/>
      </w:pPr>
      <w:r>
        <w:t>Scope and Validation Method</w:t>
      </w:r>
    </w:p>
    <w:p>
      <w:pPr>
        <w:ind w:firstLine="720"/>
      </w:pPr>
      <w:r>
        <w:t>This report documents a personal nonproduction lab. Claims are limited to data visible in retained screenshots or contained in command-generated evidence files. A configuration file proves configured state; a successful service query proves service state at collection time; a backup archive listing proves archive presence but not a full application-level restore. These distinctions are maintained throughout the report.</w:t>
      </w:r>
    </w:p>
    <w:p>
      <w:pPr>
        <w:pStyle w:val="ListBullet"/>
        <w:spacing w:line="480" w:lineRule="auto"/>
        <w:ind w:left="720" w:hanging="360"/>
      </w:pPr>
      <w:r>
        <w:t>Direct command output was treated as the strongest evidence.</w:t>
      </w:r>
    </w:p>
    <w:p>
      <w:pPr>
        <w:pStyle w:val="ListBullet"/>
        <w:spacing w:line="480" w:lineRule="auto"/>
        <w:ind w:left="720" w:hanging="360"/>
      </w:pPr>
      <w:r>
        <w:t>Configuration screens were used when the visible fields were the relevant proof.</w:t>
      </w:r>
    </w:p>
    <w:p>
      <w:pPr>
        <w:pStyle w:val="ListBullet"/>
        <w:spacing w:line="480" w:lineRule="auto"/>
        <w:ind w:left="720" w:hanging="360"/>
      </w:pPr>
      <w:r>
        <w:t>Failed attempts were not treated as successful validation.</w:t>
      </w:r>
    </w:p>
    <w:p>
      <w:pPr>
        <w:pStyle w:val="ListBullet"/>
        <w:spacing w:line="480" w:lineRule="auto"/>
        <w:ind w:left="720" w:hanging="360"/>
      </w:pPr>
      <w:r>
        <w:t>SHA-256 hashes were used to verify evidence integrity before and after transfer.</w:t>
      </w:r>
    </w:p>
    <w:p>
      <w:pPr>
        <w:pStyle w:val="ListBullet"/>
        <w:spacing w:line="480" w:lineRule="auto"/>
        <w:ind w:left="720" w:hanging="360"/>
      </w:pPr>
      <w:r>
        <w:t>Screenshots were selected for readability and relevance to the documented claim.</w:t>
      </w:r>
    </w:p>
    <w:p>
      <w:pPr>
        <w:pStyle w:val="Heading1"/>
      </w:pPr>
      <w:r>
        <w:t>Infrastructure Overview</w:t>
      </w:r>
    </w:p>
    <w:tbl>
      <w:tblPr>
        <w:tblStyle w:val="TableGrid"/>
        <w:tblW w:type="auto" w:w="0"/>
        <w:jc w:val="center"/>
        <w:tblLook w:firstColumn="1" w:firstRow="1" w:lastColumn="0" w:lastRow="0" w:noHBand="0" w:noVBand="1" w:val="04A0"/>
      </w:tblPr>
      <w:tblGrid>
        <w:gridCol w:w="2340"/>
        <w:gridCol w:w="2340"/>
        <w:gridCol w:w="2340"/>
        <w:gridCol w:w="2340"/>
      </w:tblGrid>
      <w:tr>
        <w:tc>
          <w:tcPr>
            <w:tcW w:type="dxa" w:w="2340"/>
            <w:vAlign w:val="center"/>
            <w:shd w:fill="D9EAF7"/>
          </w:tcPr>
          <w:p>
            <w:pPr>
              <w:spacing w:line="240" w:lineRule="auto"/>
            </w:pPr>
            <w:r/>
            <w:r>
              <w:rPr>
                <w:rFonts w:ascii="Times New Roman" w:hAnsi="Times New Roman"/>
                <w:b/>
                <w:sz w:val="20"/>
              </w:rPr>
              <w:t>Component</w:t>
            </w:r>
          </w:p>
        </w:tc>
        <w:tc>
          <w:tcPr>
            <w:tcW w:type="dxa" w:w="2340"/>
            <w:vAlign w:val="center"/>
            <w:shd w:fill="D9EAF7"/>
          </w:tcPr>
          <w:p>
            <w:pPr>
              <w:spacing w:line="240" w:lineRule="auto"/>
            </w:pPr>
            <w:r/>
            <w:r>
              <w:rPr>
                <w:rFonts w:ascii="Times New Roman" w:hAnsi="Times New Roman"/>
                <w:b/>
                <w:sz w:val="20"/>
              </w:rPr>
              <w:t>Role</w:t>
            </w:r>
          </w:p>
        </w:tc>
        <w:tc>
          <w:tcPr>
            <w:tcW w:type="dxa" w:w="2340"/>
            <w:vAlign w:val="center"/>
            <w:shd w:fill="D9EAF7"/>
          </w:tcPr>
          <w:p>
            <w:pPr>
              <w:spacing w:line="240" w:lineRule="auto"/>
            </w:pPr>
            <w:r/>
            <w:r>
              <w:rPr>
                <w:rFonts w:ascii="Times New Roman" w:hAnsi="Times New Roman"/>
                <w:b/>
                <w:sz w:val="20"/>
              </w:rPr>
              <w:t>Validated identifier</w:t>
            </w:r>
          </w:p>
        </w:tc>
        <w:tc>
          <w:tcPr>
            <w:tcW w:type="dxa" w:w="2340"/>
            <w:vAlign w:val="center"/>
            <w:shd w:fill="D9EAF7"/>
          </w:tcPr>
          <w:p>
            <w:pPr>
              <w:spacing w:line="240" w:lineRule="auto"/>
            </w:pPr>
            <w:r/>
            <w:r>
              <w:rPr>
                <w:rFonts w:ascii="Times New Roman" w:hAnsi="Times New Roman"/>
                <w:b/>
                <w:sz w:val="20"/>
              </w:rPr>
              <w:t>Status</w:t>
            </w:r>
          </w:p>
        </w:tc>
      </w:tr>
      <w:tr>
        <w:tc>
          <w:tcPr>
            <w:tcW w:type="dxa" w:w="2340"/>
            <w:vAlign w:val="center"/>
          </w:tcPr>
          <w:p>
            <w:pPr>
              <w:spacing w:line="240" w:lineRule="auto"/>
            </w:pPr>
            <w:r/>
            <w:r>
              <w:rPr>
                <w:rFonts w:ascii="Times New Roman" w:hAnsi="Times New Roman"/>
                <w:b w:val="0"/>
                <w:sz w:val="20"/>
              </w:rPr>
              <w:t>Dell PowerEdge R710</w:t>
            </w:r>
          </w:p>
        </w:tc>
        <w:tc>
          <w:tcPr>
            <w:tcW w:type="dxa" w:w="2340"/>
            <w:vAlign w:val="center"/>
          </w:tcPr>
          <w:p>
            <w:pPr>
              <w:spacing w:line="240" w:lineRule="auto"/>
            </w:pPr>
            <w:r/>
            <w:r>
              <w:rPr>
                <w:rFonts w:ascii="Times New Roman" w:hAnsi="Times New Roman"/>
                <w:b w:val="0"/>
                <w:sz w:val="20"/>
              </w:rPr>
              <w:t>Physical virtualization host</w:t>
            </w:r>
          </w:p>
        </w:tc>
        <w:tc>
          <w:tcPr>
            <w:tcW w:type="dxa" w:w="2340"/>
            <w:vAlign w:val="center"/>
          </w:tcPr>
          <w:p>
            <w:pPr>
              <w:spacing w:line="240" w:lineRule="auto"/>
            </w:pPr>
            <w:r/>
            <w:r>
              <w:rPr>
                <w:rFonts w:ascii="Times New Roman" w:hAnsi="Times New Roman"/>
                <w:b w:val="0"/>
                <w:sz w:val="20"/>
              </w:rPr>
              <w:t>PowerEdge R710</w:t>
            </w:r>
          </w:p>
        </w:tc>
        <w:tc>
          <w:tcPr>
            <w:tcW w:type="dxa" w:w="2340"/>
            <w:vAlign w:val="center"/>
          </w:tcPr>
          <w:p>
            <w:pPr>
              <w:spacing w:line="240" w:lineRule="auto"/>
            </w:pPr>
            <w:r/>
            <w:r>
              <w:rPr>
                <w:rFonts w:ascii="Times New Roman" w:hAnsi="Times New Roman"/>
                <w:b w:val="0"/>
                <w:sz w:val="20"/>
              </w:rPr>
              <w:t>Implemented</w:t>
            </w:r>
          </w:p>
        </w:tc>
      </w:tr>
      <w:tr>
        <w:tc>
          <w:tcPr>
            <w:tcW w:type="dxa" w:w="2340"/>
            <w:vAlign w:val="center"/>
          </w:tcPr>
          <w:p>
            <w:pPr>
              <w:spacing w:line="240" w:lineRule="auto"/>
            </w:pPr>
            <w:r/>
            <w:r>
              <w:rPr>
                <w:rFonts w:ascii="Times New Roman" w:hAnsi="Times New Roman"/>
                <w:b w:val="0"/>
                <w:sz w:val="20"/>
              </w:rPr>
              <w:t>Proxmox VE</w:t>
            </w:r>
          </w:p>
        </w:tc>
        <w:tc>
          <w:tcPr>
            <w:tcW w:type="dxa" w:w="2340"/>
            <w:vAlign w:val="center"/>
          </w:tcPr>
          <w:p>
            <w:pPr>
              <w:spacing w:line="240" w:lineRule="auto"/>
            </w:pPr>
            <w:r/>
            <w:r>
              <w:rPr>
                <w:rFonts w:ascii="Times New Roman" w:hAnsi="Times New Roman"/>
                <w:b w:val="0"/>
                <w:sz w:val="20"/>
              </w:rPr>
              <w:t>Hypervisor, VM, storage, snapshots, backup</w:t>
            </w:r>
          </w:p>
        </w:tc>
        <w:tc>
          <w:tcPr>
            <w:tcW w:type="dxa" w:w="2340"/>
            <w:vAlign w:val="center"/>
          </w:tcPr>
          <w:p>
            <w:pPr>
              <w:spacing w:line="240" w:lineRule="auto"/>
            </w:pPr>
            <w:r/>
            <w:r>
              <w:rPr>
                <w:rFonts w:ascii="Times New Roman" w:hAnsi="Times New Roman"/>
                <w:b w:val="0"/>
                <w:sz w:val="20"/>
              </w:rPr>
              <w:t>proxmox.jeremyfontenot.local / 192.168.0.242</w:t>
            </w:r>
          </w:p>
        </w:tc>
        <w:tc>
          <w:tcPr>
            <w:tcW w:type="dxa" w:w="2340"/>
            <w:vAlign w:val="center"/>
          </w:tcPr>
          <w:p>
            <w:pPr>
              <w:spacing w:line="240" w:lineRule="auto"/>
            </w:pPr>
            <w:r/>
            <w:r>
              <w:rPr>
                <w:rFonts w:ascii="Times New Roman" w:hAnsi="Times New Roman"/>
                <w:b w:val="0"/>
                <w:sz w:val="20"/>
              </w:rPr>
              <w:t>Validated</w:t>
            </w:r>
          </w:p>
        </w:tc>
      </w:tr>
      <w:tr>
        <w:tc>
          <w:tcPr>
            <w:tcW w:type="dxa" w:w="2340"/>
            <w:vAlign w:val="center"/>
          </w:tcPr>
          <w:p>
            <w:pPr>
              <w:spacing w:line="240" w:lineRule="auto"/>
            </w:pPr>
            <w:r/>
            <w:r>
              <w:rPr>
                <w:rFonts w:ascii="Times New Roman" w:hAnsi="Times New Roman"/>
                <w:b w:val="0"/>
                <w:sz w:val="20"/>
              </w:rPr>
              <w:t>pfSense, VM 100</w:t>
            </w:r>
          </w:p>
        </w:tc>
        <w:tc>
          <w:tcPr>
            <w:tcW w:type="dxa" w:w="2340"/>
            <w:vAlign w:val="center"/>
          </w:tcPr>
          <w:p>
            <w:pPr>
              <w:spacing w:line="240" w:lineRule="auto"/>
            </w:pPr>
            <w:r/>
            <w:r>
              <w:rPr>
                <w:rFonts w:ascii="Times New Roman" w:hAnsi="Times New Roman"/>
                <w:b w:val="0"/>
                <w:sz w:val="20"/>
              </w:rPr>
              <w:t>Firewall, routing, NAT, segmentation</w:t>
            </w:r>
          </w:p>
        </w:tc>
        <w:tc>
          <w:tcPr>
            <w:tcW w:type="dxa" w:w="2340"/>
            <w:vAlign w:val="center"/>
          </w:tcPr>
          <w:p>
            <w:pPr>
              <w:spacing w:line="240" w:lineRule="auto"/>
            </w:pPr>
            <w:r/>
            <w:r>
              <w:rPr>
                <w:rFonts w:ascii="Times New Roman" w:hAnsi="Times New Roman"/>
                <w:b w:val="0"/>
                <w:sz w:val="20"/>
              </w:rPr>
              <w:t>WAN 192.168.0.205; LAN 10.10.20.1</w:t>
            </w:r>
          </w:p>
        </w:tc>
        <w:tc>
          <w:tcPr>
            <w:tcW w:type="dxa" w:w="2340"/>
            <w:vAlign w:val="center"/>
          </w:tcPr>
          <w:p>
            <w:pPr>
              <w:spacing w:line="240" w:lineRule="auto"/>
            </w:pPr>
            <w:r/>
            <w:r>
              <w:rPr>
                <w:rFonts w:ascii="Times New Roman" w:hAnsi="Times New Roman"/>
                <w:b w:val="0"/>
                <w:sz w:val="20"/>
              </w:rPr>
              <w:t>Validated</w:t>
            </w:r>
          </w:p>
        </w:tc>
      </w:tr>
      <w:tr>
        <w:tc>
          <w:tcPr>
            <w:tcW w:type="dxa" w:w="2340"/>
            <w:vAlign w:val="center"/>
          </w:tcPr>
          <w:p>
            <w:pPr>
              <w:spacing w:line="240" w:lineRule="auto"/>
            </w:pPr>
            <w:r/>
            <w:r>
              <w:rPr>
                <w:rFonts w:ascii="Times New Roman" w:hAnsi="Times New Roman"/>
                <w:b w:val="0"/>
                <w:sz w:val="20"/>
              </w:rPr>
              <w:t>DC01, VM 200</w:t>
            </w:r>
          </w:p>
        </w:tc>
        <w:tc>
          <w:tcPr>
            <w:tcW w:type="dxa" w:w="2340"/>
            <w:vAlign w:val="center"/>
          </w:tcPr>
          <w:p>
            <w:pPr>
              <w:spacing w:line="240" w:lineRule="auto"/>
            </w:pPr>
            <w:r/>
            <w:r>
              <w:rPr>
                <w:rFonts w:ascii="Times New Roman" w:hAnsi="Times New Roman"/>
                <w:b w:val="0"/>
                <w:sz w:val="20"/>
              </w:rPr>
              <w:t>AD DS, DNS, DHCP, Group Policy</w:t>
            </w:r>
          </w:p>
        </w:tc>
        <w:tc>
          <w:tcPr>
            <w:tcW w:type="dxa" w:w="2340"/>
            <w:vAlign w:val="center"/>
          </w:tcPr>
          <w:p>
            <w:pPr>
              <w:spacing w:line="240" w:lineRule="auto"/>
            </w:pPr>
            <w:r/>
            <w:r>
              <w:rPr>
                <w:rFonts w:ascii="Times New Roman" w:hAnsi="Times New Roman"/>
                <w:b w:val="0"/>
                <w:sz w:val="20"/>
              </w:rPr>
              <w:t>10.10.20.10 / dc01.ad.jeremyfontenot.online</w:t>
            </w:r>
          </w:p>
        </w:tc>
        <w:tc>
          <w:tcPr>
            <w:tcW w:type="dxa" w:w="2340"/>
            <w:vAlign w:val="center"/>
          </w:tcPr>
          <w:p>
            <w:pPr>
              <w:spacing w:line="240" w:lineRule="auto"/>
            </w:pPr>
            <w:r/>
            <w:r>
              <w:rPr>
                <w:rFonts w:ascii="Times New Roman" w:hAnsi="Times New Roman"/>
                <w:b w:val="0"/>
                <w:sz w:val="20"/>
              </w:rPr>
              <w:t>Validated</w:t>
            </w:r>
          </w:p>
        </w:tc>
      </w:tr>
      <w:tr>
        <w:tc>
          <w:tcPr>
            <w:tcW w:type="dxa" w:w="2340"/>
            <w:vAlign w:val="center"/>
          </w:tcPr>
          <w:p>
            <w:pPr>
              <w:spacing w:line="240" w:lineRule="auto"/>
            </w:pPr>
            <w:r/>
            <w:r>
              <w:rPr>
                <w:rFonts w:ascii="Times New Roman" w:hAnsi="Times New Roman"/>
                <w:b w:val="0"/>
                <w:sz w:val="20"/>
              </w:rPr>
              <w:t>WS01, VM 300</w:t>
            </w:r>
          </w:p>
        </w:tc>
        <w:tc>
          <w:tcPr>
            <w:tcW w:type="dxa" w:w="2340"/>
            <w:vAlign w:val="center"/>
          </w:tcPr>
          <w:p>
            <w:pPr>
              <w:spacing w:line="240" w:lineRule="auto"/>
            </w:pPr>
            <w:r/>
            <w:r>
              <w:rPr>
                <w:rFonts w:ascii="Times New Roman" w:hAnsi="Times New Roman"/>
                <w:b w:val="0"/>
                <w:sz w:val="20"/>
              </w:rPr>
              <w:t>Windows domain workstation</w:t>
            </w:r>
          </w:p>
        </w:tc>
        <w:tc>
          <w:tcPr>
            <w:tcW w:type="dxa" w:w="2340"/>
            <w:vAlign w:val="center"/>
          </w:tcPr>
          <w:p>
            <w:pPr>
              <w:spacing w:line="240" w:lineRule="auto"/>
            </w:pPr>
            <w:r/>
            <w:r>
              <w:rPr>
                <w:rFonts w:ascii="Times New Roman" w:hAnsi="Times New Roman"/>
                <w:b w:val="0"/>
                <w:sz w:val="20"/>
              </w:rPr>
              <w:t>ws01</w:t>
            </w:r>
          </w:p>
        </w:tc>
        <w:tc>
          <w:tcPr>
            <w:tcW w:type="dxa" w:w="2340"/>
            <w:vAlign w:val="center"/>
          </w:tcPr>
          <w:p>
            <w:pPr>
              <w:spacing w:line="240" w:lineRule="auto"/>
            </w:pPr>
            <w:r/>
            <w:r>
              <w:rPr>
                <w:rFonts w:ascii="Times New Roman" w:hAnsi="Times New Roman"/>
                <w:b w:val="0"/>
                <w:sz w:val="20"/>
              </w:rPr>
              <w:t>Validated through VM and DHCP evidence</w:t>
            </w:r>
          </w:p>
        </w:tc>
      </w:tr>
      <w:tr>
        <w:tc>
          <w:tcPr>
            <w:tcW w:type="dxa" w:w="2340"/>
            <w:vAlign w:val="center"/>
          </w:tcPr>
          <w:p>
            <w:pPr>
              <w:spacing w:line="240" w:lineRule="auto"/>
            </w:pPr>
            <w:r/>
            <w:r>
              <w:rPr>
                <w:rFonts w:ascii="Times New Roman" w:hAnsi="Times New Roman"/>
                <w:b w:val="0"/>
                <w:sz w:val="20"/>
              </w:rPr>
              <w:t>Linux01, VM 400</w:t>
            </w:r>
          </w:p>
        </w:tc>
        <w:tc>
          <w:tcPr>
            <w:tcW w:type="dxa" w:w="2340"/>
            <w:vAlign w:val="center"/>
          </w:tcPr>
          <w:p>
            <w:pPr>
              <w:spacing w:line="240" w:lineRule="auto"/>
            </w:pPr>
            <w:r/>
            <w:r>
              <w:rPr>
                <w:rFonts w:ascii="Times New Roman" w:hAnsi="Times New Roman"/>
                <w:b w:val="0"/>
                <w:sz w:val="20"/>
              </w:rPr>
              <w:t>Ubuntu Server and Linux administration</w:t>
            </w:r>
          </w:p>
        </w:tc>
        <w:tc>
          <w:tcPr>
            <w:tcW w:type="dxa" w:w="2340"/>
            <w:vAlign w:val="center"/>
          </w:tcPr>
          <w:p>
            <w:pPr>
              <w:spacing w:line="240" w:lineRule="auto"/>
            </w:pPr>
            <w:r/>
            <w:r>
              <w:rPr>
                <w:rFonts w:ascii="Times New Roman" w:hAnsi="Times New Roman"/>
                <w:b w:val="0"/>
                <w:sz w:val="20"/>
              </w:rPr>
              <w:t>10.10.20.20 / linux01.ad.jeremyfontenot.online</w:t>
            </w:r>
          </w:p>
        </w:tc>
        <w:tc>
          <w:tcPr>
            <w:tcW w:type="dxa" w:w="2340"/>
            <w:vAlign w:val="center"/>
          </w:tcPr>
          <w:p>
            <w:pPr>
              <w:spacing w:line="240" w:lineRule="auto"/>
            </w:pPr>
            <w:r/>
            <w:r>
              <w:rPr>
                <w:rFonts w:ascii="Times New Roman" w:hAnsi="Times New Roman"/>
                <w:b w:val="0"/>
                <w:sz w:val="20"/>
              </w:rPr>
              <w:t>Validated</w:t>
            </w:r>
          </w:p>
        </w:tc>
      </w:tr>
    </w:tbl>
    <w:p/>
    <w:p>
      <w:pPr>
        <w:pStyle w:val="Heading1"/>
      </w:pPr>
      <w:r>
        <w:t>Network Architecture</w:t>
      </w:r>
    </w:p>
    <w:p>
      <w:pPr>
        <w:ind w:firstLine="720"/>
      </w:pPr>
      <w:r>
        <w:t>The upstream network uses 192.168.0.0/24. Proxmox management is connected through vmbr0 at 192.168.0.242, and the pfSense WAN interface is connected to the same bridge at 192.168.0.205. The internal lab uses vmbr1 and subnet 10.10.20.0/24. pfSense provides the internal gateway at 10.10.20.1. DC01 uses 10.10.20.10 and Linux01 uses 10.10.20.20. This arrangement isolates directory, DHCP, workstation, and Linux services from the household LAN.</w:t>
      </w:r>
    </w:p>
    <w:tbl>
      <w:tblPr>
        <w:tblStyle w:val="TableGrid"/>
        <w:tblW w:type="auto" w:w="0"/>
        <w:jc w:val="center"/>
        <w:tblLook w:firstColumn="1" w:firstRow="1" w:lastColumn="0" w:lastRow="0" w:noHBand="0" w:noVBand="1" w:val="04A0"/>
      </w:tblPr>
      <w:tblGrid>
        <w:gridCol w:w="3120"/>
        <w:gridCol w:w="3120"/>
        <w:gridCol w:w="3120"/>
      </w:tblGrid>
      <w:tr>
        <w:tc>
          <w:tcPr>
            <w:tcW w:type="dxa" w:w="3120"/>
            <w:vAlign w:val="center"/>
            <w:shd w:fill="D9EAF7"/>
          </w:tcPr>
          <w:p>
            <w:pPr>
              <w:spacing w:line="240" w:lineRule="auto"/>
            </w:pPr>
            <w:r/>
            <w:r>
              <w:rPr>
                <w:rFonts w:ascii="Times New Roman" w:hAnsi="Times New Roman"/>
                <w:b/>
                <w:sz w:val="20"/>
              </w:rPr>
              <w:t>Network</w:t>
            </w:r>
          </w:p>
        </w:tc>
        <w:tc>
          <w:tcPr>
            <w:tcW w:type="dxa" w:w="3120"/>
            <w:vAlign w:val="center"/>
            <w:shd w:fill="D9EAF7"/>
          </w:tcPr>
          <w:p>
            <w:pPr>
              <w:spacing w:line="240" w:lineRule="auto"/>
            </w:pPr>
            <w:r/>
            <w:r>
              <w:rPr>
                <w:rFonts w:ascii="Times New Roman" w:hAnsi="Times New Roman"/>
                <w:b/>
                <w:sz w:val="20"/>
              </w:rPr>
              <w:t>Purpose</w:t>
            </w:r>
          </w:p>
        </w:tc>
        <w:tc>
          <w:tcPr>
            <w:tcW w:type="dxa" w:w="3120"/>
            <w:vAlign w:val="center"/>
            <w:shd w:fill="D9EAF7"/>
          </w:tcPr>
          <w:p>
            <w:pPr>
              <w:spacing w:line="240" w:lineRule="auto"/>
            </w:pPr>
            <w:r/>
            <w:r>
              <w:rPr>
                <w:rFonts w:ascii="Times New Roman" w:hAnsi="Times New Roman"/>
                <w:b/>
                <w:sz w:val="20"/>
              </w:rPr>
              <w:t>Key systems</w:t>
            </w:r>
          </w:p>
        </w:tc>
      </w:tr>
      <w:tr>
        <w:tc>
          <w:tcPr>
            <w:tcW w:type="dxa" w:w="3120"/>
            <w:vAlign w:val="center"/>
          </w:tcPr>
          <w:p>
            <w:pPr>
              <w:spacing w:line="240" w:lineRule="auto"/>
            </w:pPr>
            <w:r/>
            <w:r>
              <w:rPr>
                <w:rFonts w:ascii="Times New Roman" w:hAnsi="Times New Roman"/>
                <w:b w:val="0"/>
                <w:sz w:val="20"/>
              </w:rPr>
              <w:t>192.168.0.0/24</w:t>
            </w:r>
          </w:p>
        </w:tc>
        <w:tc>
          <w:tcPr>
            <w:tcW w:type="dxa" w:w="3120"/>
            <w:vAlign w:val="center"/>
          </w:tcPr>
          <w:p>
            <w:pPr>
              <w:spacing w:line="240" w:lineRule="auto"/>
            </w:pPr>
            <w:r/>
            <w:r>
              <w:rPr>
                <w:rFonts w:ascii="Times New Roman" w:hAnsi="Times New Roman"/>
                <w:b w:val="0"/>
                <w:sz w:val="20"/>
              </w:rPr>
              <w:t>Upstream management and pfSense WAN</w:t>
            </w:r>
          </w:p>
        </w:tc>
        <w:tc>
          <w:tcPr>
            <w:tcW w:type="dxa" w:w="3120"/>
            <w:vAlign w:val="center"/>
          </w:tcPr>
          <w:p>
            <w:pPr>
              <w:spacing w:line="240" w:lineRule="auto"/>
            </w:pPr>
            <w:r/>
            <w:r>
              <w:rPr>
                <w:rFonts w:ascii="Times New Roman" w:hAnsi="Times New Roman"/>
                <w:b w:val="0"/>
                <w:sz w:val="20"/>
              </w:rPr>
              <w:t>Gateway 192.168.0.1; Proxmox 192.168.0.242; pfSense WAN 192.168.0.205</w:t>
            </w:r>
          </w:p>
        </w:tc>
      </w:tr>
      <w:tr>
        <w:tc>
          <w:tcPr>
            <w:tcW w:type="dxa" w:w="3120"/>
            <w:vAlign w:val="center"/>
          </w:tcPr>
          <w:p>
            <w:pPr>
              <w:spacing w:line="240" w:lineRule="auto"/>
            </w:pPr>
            <w:r/>
            <w:r>
              <w:rPr>
                <w:rFonts w:ascii="Times New Roman" w:hAnsi="Times New Roman"/>
                <w:b w:val="0"/>
                <w:sz w:val="20"/>
              </w:rPr>
              <w:t>10.10.20.0/24</w:t>
            </w:r>
          </w:p>
        </w:tc>
        <w:tc>
          <w:tcPr>
            <w:tcW w:type="dxa" w:w="3120"/>
            <w:vAlign w:val="center"/>
          </w:tcPr>
          <w:p>
            <w:pPr>
              <w:spacing w:line="240" w:lineRule="auto"/>
            </w:pPr>
            <w:r/>
            <w:r>
              <w:rPr>
                <w:rFonts w:ascii="Times New Roman" w:hAnsi="Times New Roman"/>
                <w:b w:val="0"/>
                <w:sz w:val="20"/>
              </w:rPr>
              <w:t>Isolated internal lab</w:t>
            </w:r>
          </w:p>
        </w:tc>
        <w:tc>
          <w:tcPr>
            <w:tcW w:type="dxa" w:w="3120"/>
            <w:vAlign w:val="center"/>
          </w:tcPr>
          <w:p>
            <w:pPr>
              <w:spacing w:line="240" w:lineRule="auto"/>
            </w:pPr>
            <w:r/>
            <w:r>
              <w:rPr>
                <w:rFonts w:ascii="Times New Roman" w:hAnsi="Times New Roman"/>
                <w:b w:val="0"/>
                <w:sz w:val="20"/>
              </w:rPr>
              <w:t>pfSense LAN 10.10.20.1; DC01 10.10.20.10; Linux01 10.10.20.20</w:t>
            </w:r>
          </w:p>
        </w:tc>
      </w:tr>
    </w:tbl>
    <w:p/>
    <w:p>
      <w:pPr>
        <w:pStyle w:val="Heading1"/>
      </w:pPr>
      <w:r>
        <w:t>Proxmox VE Virtualization Platform</w:t>
      </w:r>
    </w:p>
    <w:p>
      <w:pPr>
        <w:ind w:firstLine="720"/>
      </w:pPr>
      <w:r>
        <w:t>The Proxmox evidence export identifies the host as proxmox.jeremyfontenot.local and records vmbr0 as the upstream management bridge and vmbr1 as the isolated internal bridge. VM configuration exports show pfSense with two VirtIO adapters, DC01 and WS01 on vmbr1, and Linux01 on vmbr1 with the Proxmox firewall flag enabled.</w:t>
      </w:r>
    </w:p>
    <w:tbl>
      <w:tblPr>
        <w:tblStyle w:val="TableGrid"/>
        <w:tblW w:type="auto" w:w="0"/>
        <w:jc w:val="center"/>
        <w:tblLook w:firstColumn="1" w:firstRow="1" w:lastColumn="0" w:lastRow="0" w:noHBand="0" w:noVBand="1" w:val="04A0"/>
      </w:tblPr>
      <w:tblGrid>
        <w:gridCol w:w="1872"/>
        <w:gridCol w:w="1872"/>
        <w:gridCol w:w="1872"/>
        <w:gridCol w:w="1872"/>
        <w:gridCol w:w="1872"/>
      </w:tblGrid>
      <w:tr>
        <w:tc>
          <w:tcPr>
            <w:tcW w:type="dxa" w:w="1872"/>
            <w:vAlign w:val="center"/>
            <w:shd w:fill="D9EAF7"/>
          </w:tcPr>
          <w:p>
            <w:pPr>
              <w:spacing w:line="240" w:lineRule="auto"/>
            </w:pPr>
            <w:r/>
            <w:r>
              <w:rPr>
                <w:rFonts w:ascii="Times New Roman" w:hAnsi="Times New Roman"/>
                <w:b/>
                <w:sz w:val="20"/>
              </w:rPr>
              <w:t>VM</w:t>
            </w:r>
          </w:p>
        </w:tc>
        <w:tc>
          <w:tcPr>
            <w:tcW w:type="dxa" w:w="1872"/>
            <w:vAlign w:val="center"/>
            <w:shd w:fill="D9EAF7"/>
          </w:tcPr>
          <w:p>
            <w:pPr>
              <w:spacing w:line="240" w:lineRule="auto"/>
            </w:pPr>
            <w:r/>
            <w:r>
              <w:rPr>
                <w:rFonts w:ascii="Times New Roman" w:hAnsi="Times New Roman"/>
                <w:b/>
                <w:sz w:val="20"/>
              </w:rPr>
              <w:t>CPU</w:t>
            </w:r>
          </w:p>
        </w:tc>
        <w:tc>
          <w:tcPr>
            <w:tcW w:type="dxa" w:w="1872"/>
            <w:vAlign w:val="center"/>
            <w:shd w:fill="D9EAF7"/>
          </w:tcPr>
          <w:p>
            <w:pPr>
              <w:spacing w:line="240" w:lineRule="auto"/>
            </w:pPr>
            <w:r/>
            <w:r>
              <w:rPr>
                <w:rFonts w:ascii="Times New Roman" w:hAnsi="Times New Roman"/>
                <w:b/>
                <w:sz w:val="20"/>
              </w:rPr>
              <w:t>Memory</w:t>
            </w:r>
          </w:p>
        </w:tc>
        <w:tc>
          <w:tcPr>
            <w:tcW w:type="dxa" w:w="1872"/>
            <w:vAlign w:val="center"/>
            <w:shd w:fill="D9EAF7"/>
          </w:tcPr>
          <w:p>
            <w:pPr>
              <w:spacing w:line="240" w:lineRule="auto"/>
            </w:pPr>
            <w:r/>
            <w:r>
              <w:rPr>
                <w:rFonts w:ascii="Times New Roman" w:hAnsi="Times New Roman"/>
                <w:b/>
                <w:sz w:val="20"/>
              </w:rPr>
              <w:t>Disk</w:t>
            </w:r>
          </w:p>
        </w:tc>
        <w:tc>
          <w:tcPr>
            <w:tcW w:type="dxa" w:w="1872"/>
            <w:vAlign w:val="center"/>
            <w:shd w:fill="D9EAF7"/>
          </w:tcPr>
          <w:p>
            <w:pPr>
              <w:spacing w:line="240" w:lineRule="auto"/>
            </w:pPr>
            <w:r/>
            <w:r>
              <w:rPr>
                <w:rFonts w:ascii="Times New Roman" w:hAnsi="Times New Roman"/>
                <w:b/>
                <w:sz w:val="20"/>
              </w:rPr>
              <w:t>Network</w:t>
            </w:r>
          </w:p>
        </w:tc>
      </w:tr>
      <w:tr>
        <w:tc>
          <w:tcPr>
            <w:tcW w:type="dxa" w:w="1872"/>
            <w:vAlign w:val="center"/>
          </w:tcPr>
          <w:p>
            <w:pPr>
              <w:spacing w:line="240" w:lineRule="auto"/>
            </w:pPr>
            <w:r/>
            <w:r>
              <w:rPr>
                <w:rFonts w:ascii="Times New Roman" w:hAnsi="Times New Roman"/>
                <w:b w:val="0"/>
                <w:sz w:val="20"/>
              </w:rPr>
              <w:t>100 - pfsense-fw</w:t>
            </w:r>
          </w:p>
        </w:tc>
        <w:tc>
          <w:tcPr>
            <w:tcW w:type="dxa" w:w="1872"/>
            <w:vAlign w:val="center"/>
          </w:tcPr>
          <w:p>
            <w:pPr>
              <w:spacing w:line="240" w:lineRule="auto"/>
            </w:pPr>
            <w:r/>
            <w:r>
              <w:rPr>
                <w:rFonts w:ascii="Times New Roman" w:hAnsi="Times New Roman"/>
                <w:b w:val="0"/>
                <w:sz w:val="20"/>
              </w:rPr>
              <w:t>2 cores, host CPU</w:t>
            </w:r>
          </w:p>
        </w:tc>
        <w:tc>
          <w:tcPr>
            <w:tcW w:type="dxa" w:w="1872"/>
            <w:vAlign w:val="center"/>
          </w:tcPr>
          <w:p>
            <w:pPr>
              <w:spacing w:line="240" w:lineRule="auto"/>
            </w:pPr>
            <w:r/>
            <w:r>
              <w:rPr>
                <w:rFonts w:ascii="Times New Roman" w:hAnsi="Times New Roman"/>
                <w:b w:val="0"/>
                <w:sz w:val="20"/>
              </w:rPr>
              <w:t>4096 MB</w:t>
            </w:r>
          </w:p>
        </w:tc>
        <w:tc>
          <w:tcPr>
            <w:tcW w:type="dxa" w:w="1872"/>
            <w:vAlign w:val="center"/>
          </w:tcPr>
          <w:p>
            <w:pPr>
              <w:spacing w:line="240" w:lineRule="auto"/>
            </w:pPr>
            <w:r/>
            <w:r>
              <w:rPr>
                <w:rFonts w:ascii="Times New Roman" w:hAnsi="Times New Roman"/>
                <w:b w:val="0"/>
                <w:sz w:val="20"/>
              </w:rPr>
              <w:t>32 GB</w:t>
            </w:r>
          </w:p>
        </w:tc>
        <w:tc>
          <w:tcPr>
            <w:tcW w:type="dxa" w:w="1872"/>
            <w:vAlign w:val="center"/>
          </w:tcPr>
          <w:p>
            <w:pPr>
              <w:spacing w:line="240" w:lineRule="auto"/>
            </w:pPr>
            <w:r/>
            <w:r>
              <w:rPr>
                <w:rFonts w:ascii="Times New Roman" w:hAnsi="Times New Roman"/>
                <w:b w:val="0"/>
                <w:sz w:val="20"/>
              </w:rPr>
              <w:t>vmbr0 and vmbr1</w:t>
            </w:r>
          </w:p>
        </w:tc>
      </w:tr>
      <w:tr>
        <w:tc>
          <w:tcPr>
            <w:tcW w:type="dxa" w:w="1872"/>
            <w:vAlign w:val="center"/>
          </w:tcPr>
          <w:p>
            <w:pPr>
              <w:spacing w:line="240" w:lineRule="auto"/>
            </w:pPr>
            <w:r/>
            <w:r>
              <w:rPr>
                <w:rFonts w:ascii="Times New Roman" w:hAnsi="Times New Roman"/>
                <w:b w:val="0"/>
                <w:sz w:val="20"/>
              </w:rPr>
              <w:t>200 - dc01</w:t>
            </w:r>
          </w:p>
        </w:tc>
        <w:tc>
          <w:tcPr>
            <w:tcW w:type="dxa" w:w="1872"/>
            <w:vAlign w:val="center"/>
          </w:tcPr>
          <w:p>
            <w:pPr>
              <w:spacing w:line="240" w:lineRule="auto"/>
            </w:pPr>
            <w:r/>
            <w:r>
              <w:rPr>
                <w:rFonts w:ascii="Times New Roman" w:hAnsi="Times New Roman"/>
                <w:b w:val="0"/>
                <w:sz w:val="20"/>
              </w:rPr>
              <w:t>2 cores, host CPU</w:t>
            </w:r>
          </w:p>
        </w:tc>
        <w:tc>
          <w:tcPr>
            <w:tcW w:type="dxa" w:w="1872"/>
            <w:vAlign w:val="center"/>
          </w:tcPr>
          <w:p>
            <w:pPr>
              <w:spacing w:line="240" w:lineRule="auto"/>
            </w:pPr>
            <w:r/>
            <w:r>
              <w:rPr>
                <w:rFonts w:ascii="Times New Roman" w:hAnsi="Times New Roman"/>
                <w:b w:val="0"/>
                <w:sz w:val="20"/>
              </w:rPr>
              <w:t>4096 MB</w:t>
            </w:r>
          </w:p>
        </w:tc>
        <w:tc>
          <w:tcPr>
            <w:tcW w:type="dxa" w:w="1872"/>
            <w:vAlign w:val="center"/>
          </w:tcPr>
          <w:p>
            <w:pPr>
              <w:spacing w:line="240" w:lineRule="auto"/>
            </w:pPr>
            <w:r/>
            <w:r>
              <w:rPr>
                <w:rFonts w:ascii="Times New Roman" w:hAnsi="Times New Roman"/>
                <w:b w:val="0"/>
                <w:sz w:val="20"/>
              </w:rPr>
              <w:t>80 GB</w:t>
            </w:r>
          </w:p>
        </w:tc>
        <w:tc>
          <w:tcPr>
            <w:tcW w:type="dxa" w:w="1872"/>
            <w:vAlign w:val="center"/>
          </w:tcPr>
          <w:p>
            <w:pPr>
              <w:spacing w:line="240" w:lineRule="auto"/>
            </w:pPr>
            <w:r/>
            <w:r>
              <w:rPr>
                <w:rFonts w:ascii="Times New Roman" w:hAnsi="Times New Roman"/>
                <w:b w:val="0"/>
                <w:sz w:val="20"/>
              </w:rPr>
              <w:t>vmbr1</w:t>
            </w:r>
          </w:p>
        </w:tc>
      </w:tr>
      <w:tr>
        <w:tc>
          <w:tcPr>
            <w:tcW w:type="dxa" w:w="1872"/>
            <w:vAlign w:val="center"/>
          </w:tcPr>
          <w:p>
            <w:pPr>
              <w:spacing w:line="240" w:lineRule="auto"/>
            </w:pPr>
            <w:r/>
            <w:r>
              <w:rPr>
                <w:rFonts w:ascii="Times New Roman" w:hAnsi="Times New Roman"/>
                <w:b w:val="0"/>
                <w:sz w:val="20"/>
              </w:rPr>
              <w:t>300 - ws01</w:t>
            </w:r>
          </w:p>
        </w:tc>
        <w:tc>
          <w:tcPr>
            <w:tcW w:type="dxa" w:w="1872"/>
            <w:vAlign w:val="center"/>
          </w:tcPr>
          <w:p>
            <w:pPr>
              <w:spacing w:line="240" w:lineRule="auto"/>
            </w:pPr>
            <w:r/>
            <w:r>
              <w:rPr>
                <w:rFonts w:ascii="Times New Roman" w:hAnsi="Times New Roman"/>
                <w:b w:val="0"/>
                <w:sz w:val="20"/>
              </w:rPr>
              <w:t>2 cores, host CPU</w:t>
            </w:r>
          </w:p>
        </w:tc>
        <w:tc>
          <w:tcPr>
            <w:tcW w:type="dxa" w:w="1872"/>
            <w:vAlign w:val="center"/>
          </w:tcPr>
          <w:p>
            <w:pPr>
              <w:spacing w:line="240" w:lineRule="auto"/>
            </w:pPr>
            <w:r/>
            <w:r>
              <w:rPr>
                <w:rFonts w:ascii="Times New Roman" w:hAnsi="Times New Roman"/>
                <w:b w:val="0"/>
                <w:sz w:val="20"/>
              </w:rPr>
              <w:t>4096 MB</w:t>
            </w:r>
          </w:p>
        </w:tc>
        <w:tc>
          <w:tcPr>
            <w:tcW w:type="dxa" w:w="1872"/>
            <w:vAlign w:val="center"/>
          </w:tcPr>
          <w:p>
            <w:pPr>
              <w:spacing w:line="240" w:lineRule="auto"/>
            </w:pPr>
            <w:r/>
            <w:r>
              <w:rPr>
                <w:rFonts w:ascii="Times New Roman" w:hAnsi="Times New Roman"/>
                <w:b w:val="0"/>
                <w:sz w:val="20"/>
              </w:rPr>
              <w:t>80 GB</w:t>
            </w:r>
          </w:p>
        </w:tc>
        <w:tc>
          <w:tcPr>
            <w:tcW w:type="dxa" w:w="1872"/>
            <w:vAlign w:val="center"/>
          </w:tcPr>
          <w:p>
            <w:pPr>
              <w:spacing w:line="240" w:lineRule="auto"/>
            </w:pPr>
            <w:r/>
            <w:r>
              <w:rPr>
                <w:rFonts w:ascii="Times New Roman" w:hAnsi="Times New Roman"/>
                <w:b w:val="0"/>
                <w:sz w:val="20"/>
              </w:rPr>
              <w:t>vmbr1</w:t>
            </w:r>
          </w:p>
        </w:tc>
      </w:tr>
      <w:tr>
        <w:tc>
          <w:tcPr>
            <w:tcW w:type="dxa" w:w="1872"/>
            <w:vAlign w:val="center"/>
          </w:tcPr>
          <w:p>
            <w:pPr>
              <w:spacing w:line="240" w:lineRule="auto"/>
            </w:pPr>
            <w:r/>
            <w:r>
              <w:rPr>
                <w:rFonts w:ascii="Times New Roman" w:hAnsi="Times New Roman"/>
                <w:b w:val="0"/>
                <w:sz w:val="20"/>
              </w:rPr>
              <w:t>400 - linux01</w:t>
            </w:r>
          </w:p>
        </w:tc>
        <w:tc>
          <w:tcPr>
            <w:tcW w:type="dxa" w:w="1872"/>
            <w:vAlign w:val="center"/>
          </w:tcPr>
          <w:p>
            <w:pPr>
              <w:spacing w:line="240" w:lineRule="auto"/>
            </w:pPr>
            <w:r/>
            <w:r>
              <w:rPr>
                <w:rFonts w:ascii="Times New Roman" w:hAnsi="Times New Roman"/>
                <w:b w:val="0"/>
                <w:sz w:val="20"/>
              </w:rPr>
              <w:t>2 cores, host CPU</w:t>
            </w:r>
          </w:p>
        </w:tc>
        <w:tc>
          <w:tcPr>
            <w:tcW w:type="dxa" w:w="1872"/>
            <w:vAlign w:val="center"/>
          </w:tcPr>
          <w:p>
            <w:pPr>
              <w:spacing w:line="240" w:lineRule="auto"/>
            </w:pPr>
            <w:r/>
            <w:r>
              <w:rPr>
                <w:rFonts w:ascii="Times New Roman" w:hAnsi="Times New Roman"/>
                <w:b w:val="0"/>
                <w:sz w:val="20"/>
              </w:rPr>
              <w:t>2048 MB</w:t>
            </w:r>
          </w:p>
        </w:tc>
        <w:tc>
          <w:tcPr>
            <w:tcW w:type="dxa" w:w="1872"/>
            <w:vAlign w:val="center"/>
          </w:tcPr>
          <w:p>
            <w:pPr>
              <w:spacing w:line="240" w:lineRule="auto"/>
            </w:pPr>
            <w:r/>
            <w:r>
              <w:rPr>
                <w:rFonts w:ascii="Times New Roman" w:hAnsi="Times New Roman"/>
                <w:b w:val="0"/>
                <w:sz w:val="20"/>
              </w:rPr>
              <w:t>40 GB</w:t>
            </w:r>
          </w:p>
        </w:tc>
        <w:tc>
          <w:tcPr>
            <w:tcW w:type="dxa" w:w="1872"/>
            <w:vAlign w:val="center"/>
          </w:tcPr>
          <w:p>
            <w:pPr>
              <w:spacing w:line="240" w:lineRule="auto"/>
            </w:pPr>
            <w:r/>
            <w:r>
              <w:rPr>
                <w:rFonts w:ascii="Times New Roman" w:hAnsi="Times New Roman"/>
                <w:b w:val="0"/>
                <w:sz w:val="20"/>
              </w:rPr>
              <w:t>vmbr1, firewall enabled</w:t>
            </w:r>
          </w:p>
        </w:tc>
      </w:tr>
    </w:tbl>
    <w:p/>
    <w:p>
      <w:pPr>
        <w:pStyle w:val="Heading1"/>
      </w:pPr>
      <w:r>
        <w:t>Storage, Snapshots, and Backups</w:t>
      </w:r>
    </w:p>
    <w:p>
      <w:pPr>
        <w:ind w:firstLine="720"/>
      </w:pPr>
      <w:r>
        <w:t>The host uses local directory storage, a thin-provisioned local-lvm pool, and a dedicated ext4 backup disk mounted at /mnt/pve/backup-hdd. At collection time, the thin pool was approximately 21.06% utilized and its metadata was approximately 1.22% utilized. The backup disk provided approximately 916 GB total capacity.</w:t>
      </w:r>
    </w:p>
    <w:p>
      <w:pPr>
        <w:ind w:firstLine="720"/>
      </w:pPr>
      <w:r>
        <w:t>Snapshots preserve validated milestones for each VM. The current retained snapshot names include pfsense-rdp-nat-restricted, dc01-fileshare-it-ok, ws01-localadmin-gpo-ok, and linux01-domain-joined-hardened-agent. The recurring job backup-critical-lab-vms is enabled in snapshot mode, uses zstd compression, runs Sundays at 02:00, targets backup-hdd, and includes VMs 100, 200, 300, and 400.</w:t>
      </w:r>
    </w:p>
    <w:tbl>
      <w:tblPr>
        <w:tblStyle w:val="TableGrid"/>
        <w:tblW w:type="auto" w:w="0"/>
        <w:jc w:val="center"/>
        <w:tblLook w:firstColumn="1" w:firstRow="1" w:lastColumn="0" w:lastRow="0" w:noHBand="0" w:noVBand="1" w:val="04A0"/>
      </w:tblPr>
      <w:tblGrid>
        <w:gridCol w:w="4680"/>
        <w:gridCol w:w="4680"/>
      </w:tblGrid>
      <w:tr>
        <w:tc>
          <w:tcPr>
            <w:tcW w:type="dxa" w:w="4680"/>
            <w:vAlign w:val="center"/>
            <w:shd w:fill="D9EAF7"/>
          </w:tcPr>
          <w:p>
            <w:pPr>
              <w:spacing w:line="240" w:lineRule="auto"/>
            </w:pPr>
            <w:r/>
            <w:r>
              <w:rPr>
                <w:rFonts w:ascii="Times New Roman" w:hAnsi="Times New Roman"/>
                <w:b/>
                <w:sz w:val="20"/>
              </w:rPr>
              <w:t>Control</w:t>
            </w:r>
          </w:p>
        </w:tc>
        <w:tc>
          <w:tcPr>
            <w:tcW w:type="dxa" w:w="4680"/>
            <w:vAlign w:val="center"/>
            <w:shd w:fill="D9EAF7"/>
          </w:tcPr>
          <w:p>
            <w:pPr>
              <w:spacing w:line="240" w:lineRule="auto"/>
            </w:pPr>
            <w:r/>
            <w:r>
              <w:rPr>
                <w:rFonts w:ascii="Times New Roman" w:hAnsi="Times New Roman"/>
                <w:b/>
                <w:sz w:val="20"/>
              </w:rPr>
              <w:t>Validated configuration</w:t>
            </w:r>
          </w:p>
        </w:tc>
      </w:tr>
      <w:tr>
        <w:tc>
          <w:tcPr>
            <w:tcW w:type="dxa" w:w="4680"/>
            <w:vAlign w:val="center"/>
          </w:tcPr>
          <w:p>
            <w:pPr>
              <w:spacing w:line="240" w:lineRule="auto"/>
            </w:pPr>
            <w:r/>
            <w:r>
              <w:rPr>
                <w:rFonts w:ascii="Times New Roman" w:hAnsi="Times New Roman"/>
                <w:b w:val="0"/>
                <w:sz w:val="20"/>
              </w:rPr>
              <w:t>Backup job</w:t>
            </w:r>
          </w:p>
        </w:tc>
        <w:tc>
          <w:tcPr>
            <w:tcW w:type="dxa" w:w="4680"/>
            <w:vAlign w:val="center"/>
          </w:tcPr>
          <w:p>
            <w:pPr>
              <w:spacing w:line="240" w:lineRule="auto"/>
            </w:pPr>
            <w:r/>
            <w:r>
              <w:rPr>
                <w:rFonts w:ascii="Times New Roman" w:hAnsi="Times New Roman"/>
                <w:b w:val="0"/>
                <w:sz w:val="20"/>
              </w:rPr>
              <w:t>backup-critical-lab-vms</w:t>
            </w:r>
          </w:p>
        </w:tc>
      </w:tr>
      <w:tr>
        <w:tc>
          <w:tcPr>
            <w:tcW w:type="dxa" w:w="4680"/>
            <w:vAlign w:val="center"/>
          </w:tcPr>
          <w:p>
            <w:pPr>
              <w:spacing w:line="240" w:lineRule="auto"/>
            </w:pPr>
            <w:r/>
            <w:r>
              <w:rPr>
                <w:rFonts w:ascii="Times New Roman" w:hAnsi="Times New Roman"/>
                <w:b w:val="0"/>
                <w:sz w:val="20"/>
              </w:rPr>
              <w:t>Schedule</w:t>
            </w:r>
          </w:p>
        </w:tc>
        <w:tc>
          <w:tcPr>
            <w:tcW w:type="dxa" w:w="4680"/>
            <w:vAlign w:val="center"/>
          </w:tcPr>
          <w:p>
            <w:pPr>
              <w:spacing w:line="240" w:lineRule="auto"/>
            </w:pPr>
            <w:r/>
            <w:r>
              <w:rPr>
                <w:rFonts w:ascii="Times New Roman" w:hAnsi="Times New Roman"/>
                <w:b w:val="0"/>
                <w:sz w:val="20"/>
              </w:rPr>
              <w:t>Sunday at 02:00</w:t>
            </w:r>
          </w:p>
        </w:tc>
      </w:tr>
      <w:tr>
        <w:tc>
          <w:tcPr>
            <w:tcW w:type="dxa" w:w="4680"/>
            <w:vAlign w:val="center"/>
          </w:tcPr>
          <w:p>
            <w:pPr>
              <w:spacing w:line="240" w:lineRule="auto"/>
            </w:pPr>
            <w:r/>
            <w:r>
              <w:rPr>
                <w:rFonts w:ascii="Times New Roman" w:hAnsi="Times New Roman"/>
                <w:b w:val="0"/>
                <w:sz w:val="20"/>
              </w:rPr>
              <w:t>Mode</w:t>
            </w:r>
          </w:p>
        </w:tc>
        <w:tc>
          <w:tcPr>
            <w:tcW w:type="dxa" w:w="4680"/>
            <w:vAlign w:val="center"/>
          </w:tcPr>
          <w:p>
            <w:pPr>
              <w:spacing w:line="240" w:lineRule="auto"/>
            </w:pPr>
            <w:r/>
            <w:r>
              <w:rPr>
                <w:rFonts w:ascii="Times New Roman" w:hAnsi="Times New Roman"/>
                <w:b w:val="0"/>
                <w:sz w:val="20"/>
              </w:rPr>
              <w:t>Snapshot</w:t>
            </w:r>
          </w:p>
        </w:tc>
      </w:tr>
      <w:tr>
        <w:tc>
          <w:tcPr>
            <w:tcW w:type="dxa" w:w="4680"/>
            <w:vAlign w:val="center"/>
          </w:tcPr>
          <w:p>
            <w:pPr>
              <w:spacing w:line="240" w:lineRule="auto"/>
            </w:pPr>
            <w:r/>
            <w:r>
              <w:rPr>
                <w:rFonts w:ascii="Times New Roman" w:hAnsi="Times New Roman"/>
                <w:b w:val="0"/>
                <w:sz w:val="20"/>
              </w:rPr>
              <w:t>Compression</w:t>
            </w:r>
          </w:p>
        </w:tc>
        <w:tc>
          <w:tcPr>
            <w:tcW w:type="dxa" w:w="4680"/>
            <w:vAlign w:val="center"/>
          </w:tcPr>
          <w:p>
            <w:pPr>
              <w:spacing w:line="240" w:lineRule="auto"/>
            </w:pPr>
            <w:r/>
            <w:r>
              <w:rPr>
                <w:rFonts w:ascii="Times New Roman" w:hAnsi="Times New Roman"/>
                <w:b w:val="0"/>
                <w:sz w:val="20"/>
              </w:rPr>
              <w:t>zstd</w:t>
            </w:r>
          </w:p>
        </w:tc>
      </w:tr>
      <w:tr>
        <w:tc>
          <w:tcPr>
            <w:tcW w:type="dxa" w:w="4680"/>
            <w:vAlign w:val="center"/>
          </w:tcPr>
          <w:p>
            <w:pPr>
              <w:spacing w:line="240" w:lineRule="auto"/>
            </w:pPr>
            <w:r/>
            <w:r>
              <w:rPr>
                <w:rFonts w:ascii="Times New Roman" w:hAnsi="Times New Roman"/>
                <w:b w:val="0"/>
                <w:sz w:val="20"/>
              </w:rPr>
              <w:t>Storage</w:t>
            </w:r>
          </w:p>
        </w:tc>
        <w:tc>
          <w:tcPr>
            <w:tcW w:type="dxa" w:w="4680"/>
            <w:vAlign w:val="center"/>
          </w:tcPr>
          <w:p>
            <w:pPr>
              <w:spacing w:line="240" w:lineRule="auto"/>
            </w:pPr>
            <w:r/>
            <w:r>
              <w:rPr>
                <w:rFonts w:ascii="Times New Roman" w:hAnsi="Times New Roman"/>
                <w:b w:val="0"/>
                <w:sz w:val="20"/>
              </w:rPr>
              <w:t>backup-hdd</w:t>
            </w:r>
          </w:p>
        </w:tc>
      </w:tr>
      <w:tr>
        <w:tc>
          <w:tcPr>
            <w:tcW w:type="dxa" w:w="4680"/>
            <w:vAlign w:val="center"/>
          </w:tcPr>
          <w:p>
            <w:pPr>
              <w:spacing w:line="240" w:lineRule="auto"/>
            </w:pPr>
            <w:r/>
            <w:r>
              <w:rPr>
                <w:rFonts w:ascii="Times New Roman" w:hAnsi="Times New Roman"/>
                <w:b w:val="0"/>
                <w:sz w:val="20"/>
              </w:rPr>
              <w:t>VM membership</w:t>
            </w:r>
          </w:p>
        </w:tc>
        <w:tc>
          <w:tcPr>
            <w:tcW w:type="dxa" w:w="4680"/>
            <w:vAlign w:val="center"/>
          </w:tcPr>
          <w:p>
            <w:pPr>
              <w:spacing w:line="240" w:lineRule="auto"/>
            </w:pPr>
            <w:r/>
            <w:r>
              <w:rPr>
                <w:rFonts w:ascii="Times New Roman" w:hAnsi="Times New Roman"/>
                <w:b w:val="0"/>
                <w:sz w:val="20"/>
              </w:rPr>
              <w:t>100, 200, 300, 400</w:t>
            </w:r>
          </w:p>
        </w:tc>
      </w:tr>
    </w:tbl>
    <w:p/>
    <w:p>
      <w:pPr>
        <w:pStyle w:val="Heading1"/>
      </w:pPr>
      <w:r>
        <w:t>Windows Server 2022 and Active Directory</w:t>
      </w:r>
    </w:p>
    <w:p>
      <w:pPr>
        <w:ind w:firstLine="720"/>
      </w:pPr>
      <w:r>
        <w:t>DC01 runs Windows Server 2022 Standard Evaluation, build 20348, as the primary domain controller for ad.jeremyfontenot.online. The forest and domain functional levels are Windows Server 2016. DC01 is a global catalog and holds all five FSMO roles: Schema Master, Domain Naming Master, PDC Emulator, RID Master, and Infrastructure Master.</w:t>
      </w:r>
    </w:p>
    <w:p>
      <w:pPr>
        <w:keepNext/>
        <w:jc w:val="center"/>
      </w:pPr>
      <w:r>
        <w:drawing>
          <wp:inline xmlns:a="http://schemas.openxmlformats.org/drawingml/2006/main" xmlns:pic="http://schemas.openxmlformats.org/drawingml/2006/picture">
            <wp:extent cx="5715000" cy="8206904"/>
            <wp:docPr id="1" name="Picture 1"/>
            <wp:cNvGraphicFramePr>
              <a:graphicFrameLocks noChangeAspect="1"/>
            </wp:cNvGraphicFramePr>
            <a:graphic>
              <a:graphicData uri="http://schemas.openxmlformats.org/drawingml/2006/picture">
                <pic:pic>
                  <pic:nvPicPr>
                    <pic:cNvPr id="0" name="cropped_1478f0c8-0a91-41fa-8831-d5ec6d297806.png"/>
                    <pic:cNvPicPr/>
                  </pic:nvPicPr>
                  <pic:blipFill>
                    <a:blip r:embed="rId11"/>
                    <a:stretch>
                      <a:fillRect/>
                    </a:stretch>
                  </pic:blipFill>
                  <pic:spPr>
                    <a:xfrm>
                      <a:off x="0" y="0"/>
                      <a:ext cx="5715000" cy="8206904"/>
                    </a:xfrm>
                    <a:prstGeom prst="rect"/>
                  </pic:spPr>
                </pic:pic>
              </a:graphicData>
            </a:graphic>
          </wp:inline>
        </w:drawing>
      </w:r>
    </w:p>
    <w:p>
      <w:pPr>
        <w:pStyle w:val="FigureCaption"/>
        <w:keepLines/>
        <w:jc w:val="center"/>
      </w:pPr>
      <w:r>
        <w:t>Figure 1. Active Directory forest, domain, domain controller, and FSMO role validation on DC01.</w:t>
      </w:r>
    </w:p>
    <w:p>
      <w:pPr>
        <w:pStyle w:val="Heading1"/>
      </w:pPr>
      <w:r>
        <w:t>DNS Services</w:t>
      </w:r>
    </w:p>
    <w:p>
      <w:pPr>
        <w:ind w:firstLine="720"/>
      </w:pPr>
      <w:r>
        <w:t>The DNS Server service is configured for automatic startup and was running during validation. AD-integrated forward and reverse zones are present. The ad.jeremyfontenot.online zone uses secure dynamic updates, and the reverse zone 20.10.10.in-addr.arpa is AD integrated. Forward and reverse lookup tests validated DC01 and Linux01.</w:t>
      </w:r>
    </w:p>
    <w:p>
      <w:pPr>
        <w:keepNext/>
        <w:jc w:val="center"/>
      </w:pPr>
      <w:r>
        <w:drawing>
          <wp:inline xmlns:a="http://schemas.openxmlformats.org/drawingml/2006/main" xmlns:pic="http://schemas.openxmlformats.org/drawingml/2006/picture">
            <wp:extent cx="5715000" cy="10668000"/>
            <wp:docPr id="2" name="Picture 2"/>
            <wp:cNvGraphicFramePr>
              <a:graphicFrameLocks noChangeAspect="1"/>
            </wp:cNvGraphicFramePr>
            <a:graphic>
              <a:graphicData uri="http://schemas.openxmlformats.org/drawingml/2006/picture">
                <pic:pic>
                  <pic:nvPicPr>
                    <pic:cNvPr id="0" name="cropped_5c9ebc02-ce4b-4b60-a4d5-3d6f9aa02246.png"/>
                    <pic:cNvPicPr/>
                  </pic:nvPicPr>
                  <pic:blipFill>
                    <a:blip r:embed="rId12"/>
                    <a:stretch>
                      <a:fillRect/>
                    </a:stretch>
                  </pic:blipFill>
                  <pic:spPr>
                    <a:xfrm>
                      <a:off x="0" y="0"/>
                      <a:ext cx="5715000" cy="10668000"/>
                    </a:xfrm>
                    <a:prstGeom prst="rect"/>
                  </pic:spPr>
                </pic:pic>
              </a:graphicData>
            </a:graphic>
          </wp:inline>
        </w:drawing>
      </w:r>
    </w:p>
    <w:p>
      <w:pPr>
        <w:pStyle w:val="FigureCaption"/>
        <w:keepLines/>
        <w:jc w:val="center"/>
      </w:pPr>
      <w:r>
        <w:t>Figure 2. DNS service, AD-integrated zones, records, and forward/reverse resolution tests.</w:t>
      </w:r>
    </w:p>
    <w:p>
      <w:pPr>
        <w:pStyle w:val="Heading1"/>
      </w:pPr>
      <w:r>
        <w:t>DHCP Services</w:t>
      </w:r>
    </w:p>
    <w:p>
      <w:pPr>
        <w:ind w:firstLine="720"/>
      </w:pPr>
      <w:r>
        <w:t>DC01 is authorized in Active Directory as the DHCP server at 10.10.20.10. The active scope is 10.10.20.0/24 with a pool from 10.10.20.100 through 10.10.20.200. Scope options assign router 10.10.20.1, DNS server 10.10.20.10, and DNS domain ad.jeremyfontenot.online. The lease inventory showed active leases for WS01 at 10.10.20.100 and Linux01 at 10.10.20.101 at the time of collection.</w:t>
      </w:r>
    </w:p>
    <w:p>
      <w:pPr>
        <w:keepNext/>
        <w:jc w:val="center"/>
      </w:pPr>
      <w:r>
        <w:drawing>
          <wp:inline xmlns:a="http://schemas.openxmlformats.org/drawingml/2006/main" xmlns:pic="http://schemas.openxmlformats.org/drawingml/2006/picture">
            <wp:extent cx="5715000" cy="10178199"/>
            <wp:docPr id="3" name="Picture 3"/>
            <wp:cNvGraphicFramePr>
              <a:graphicFrameLocks noChangeAspect="1"/>
            </wp:cNvGraphicFramePr>
            <a:graphic>
              <a:graphicData uri="http://schemas.openxmlformats.org/drawingml/2006/picture">
                <pic:pic>
                  <pic:nvPicPr>
                    <pic:cNvPr id="0" name="cropped_c545e65c-92e7-40d2-9d74-73cc4c1715af.png"/>
                    <pic:cNvPicPr/>
                  </pic:nvPicPr>
                  <pic:blipFill>
                    <a:blip r:embed="rId13"/>
                    <a:stretch>
                      <a:fillRect/>
                    </a:stretch>
                  </pic:blipFill>
                  <pic:spPr>
                    <a:xfrm>
                      <a:off x="0" y="0"/>
                      <a:ext cx="5715000" cy="10178199"/>
                    </a:xfrm>
                    <a:prstGeom prst="rect"/>
                  </pic:spPr>
                </pic:pic>
              </a:graphicData>
            </a:graphic>
          </wp:inline>
        </w:drawing>
      </w:r>
    </w:p>
    <w:p>
      <w:pPr>
        <w:pStyle w:val="FigureCaption"/>
        <w:keepLines/>
        <w:jc w:val="center"/>
      </w:pPr>
      <w:r>
        <w:t>Figure 3. Authorized DHCP server, active scope, scope options, statistics, and leases.</w:t>
      </w:r>
    </w:p>
    <w:p>
      <w:pPr>
        <w:pStyle w:val="Heading1"/>
      </w:pPr>
      <w:r>
        <w:t>Group Policy and Role-Based Administration</w:t>
      </w:r>
    </w:p>
    <w:p>
      <w:pPr>
        <w:ind w:firstLine="720"/>
      </w:pPr>
      <w:r>
        <w:t>The environment uses domain-linked and OU-linked Group Policy Objects for password policy, account lockout, Windows Firewall, RDP restrictions, PowerShell logging, audit policy, Windows Update, server security, workstation security, controlled local administrators, and user drive mapping. Role-based groups are used instead of assigning permissions directly to individual users.</w:t>
      </w:r>
    </w:p>
    <w:p>
      <w:pPr>
        <w:keepNext/>
        <w:jc w:val="center"/>
      </w:pPr>
      <w:r>
        <w:drawing>
          <wp:inline xmlns:a="http://schemas.openxmlformats.org/drawingml/2006/main" xmlns:pic="http://schemas.openxmlformats.org/drawingml/2006/picture">
            <wp:extent cx="5715000" cy="15745094"/>
            <wp:docPr id="4" name="Picture 4"/>
            <wp:cNvGraphicFramePr>
              <a:graphicFrameLocks noChangeAspect="1"/>
            </wp:cNvGraphicFramePr>
            <a:graphic>
              <a:graphicData uri="http://schemas.openxmlformats.org/drawingml/2006/picture">
                <pic:pic>
                  <pic:nvPicPr>
                    <pic:cNvPr id="0" name="cropped_b13b7596-677c-4108-a68f-d589846de8e5.png"/>
                    <pic:cNvPicPr/>
                  </pic:nvPicPr>
                  <pic:blipFill>
                    <a:blip r:embed="rId14"/>
                    <a:stretch>
                      <a:fillRect/>
                    </a:stretch>
                  </pic:blipFill>
                  <pic:spPr>
                    <a:xfrm>
                      <a:off x="0" y="0"/>
                      <a:ext cx="5715000" cy="15745094"/>
                    </a:xfrm>
                    <a:prstGeom prst="rect"/>
                  </pic:spPr>
                </pic:pic>
              </a:graphicData>
            </a:graphic>
          </wp:inline>
        </w:drawing>
      </w:r>
    </w:p>
    <w:p>
      <w:pPr>
        <w:pStyle w:val="FigureCaption"/>
        <w:keepLines/>
        <w:jc w:val="center"/>
      </w:pPr>
      <w:r>
        <w:t>Figure 4. Group Policy Objects and domain/OU link validation.</w:t>
      </w:r>
    </w:p>
    <w:p>
      <w:pPr>
        <w:pStyle w:val="Heading1"/>
      </w:pPr>
      <w:r>
        <w:t>Ubuntu Server Linux01</w:t>
      </w:r>
    </w:p>
    <w:p>
      <w:pPr>
        <w:ind w:firstLine="720"/>
      </w:pPr>
      <w:r>
        <w:t>Linux01 is Ubuntu Server 26.04 LTS with kernel 7.0.0-22-generic. Proxmox identifies it as VM 400 with two CPU cores, 2 GB memory, a 40 GB VirtIO SCSI disk, a VirtIO network adapter on vmbr1, guest agent enabled, and VM-level firewall integration enabled. The operating system uses static address 10.10.20.20/24, default gateway 10.10.20.1, DNS server 10.10.20.10, and search domain ad.jeremyfontenot.online.</w:t>
      </w:r>
    </w:p>
    <w:p>
      <w:pPr>
        <w:keepNext/>
        <w:jc w:val="center"/>
      </w:pPr>
      <w:r>
        <w:drawing>
          <wp:inline xmlns:a="http://schemas.openxmlformats.org/drawingml/2006/main" xmlns:pic="http://schemas.openxmlformats.org/drawingml/2006/picture">
            <wp:extent cx="5715000" cy="4248691"/>
            <wp:docPr id="5" name="Picture 5"/>
            <wp:cNvGraphicFramePr>
              <a:graphicFrameLocks noChangeAspect="1"/>
            </wp:cNvGraphicFramePr>
            <a:graphic>
              <a:graphicData uri="http://schemas.openxmlformats.org/drawingml/2006/picture">
                <pic:pic>
                  <pic:nvPicPr>
                    <pic:cNvPr id="0" name="cropped_linux01-os.png"/>
                    <pic:cNvPicPr/>
                  </pic:nvPicPr>
                  <pic:blipFill>
                    <a:blip r:embed="rId15"/>
                    <a:stretch>
                      <a:fillRect/>
                    </a:stretch>
                  </pic:blipFill>
                  <pic:spPr>
                    <a:xfrm>
                      <a:off x="0" y="0"/>
                      <a:ext cx="5715000" cy="4248691"/>
                    </a:xfrm>
                    <a:prstGeom prst="rect"/>
                  </pic:spPr>
                </pic:pic>
              </a:graphicData>
            </a:graphic>
          </wp:inline>
        </w:drawing>
      </w:r>
    </w:p>
    <w:p>
      <w:pPr>
        <w:pStyle w:val="FigureCaption"/>
        <w:keepLines/>
        <w:jc w:val="center"/>
      </w:pPr>
      <w:r>
        <w:t>Figure 5. Ubuntu Server operating system selection and installation workflow.</w:t>
      </w:r>
    </w:p>
    <w:p>
      <w:pPr>
        <w:keepNext/>
        <w:jc w:val="center"/>
      </w:pPr>
      <w:r>
        <w:drawing>
          <wp:inline xmlns:a="http://schemas.openxmlformats.org/drawingml/2006/main" xmlns:pic="http://schemas.openxmlformats.org/drawingml/2006/picture">
            <wp:extent cx="5715000" cy="2753515"/>
            <wp:docPr id="6" name="Picture 6"/>
            <wp:cNvGraphicFramePr>
              <a:graphicFrameLocks noChangeAspect="1"/>
            </wp:cNvGraphicFramePr>
            <a:graphic>
              <a:graphicData uri="http://schemas.openxmlformats.org/drawingml/2006/picture">
                <pic:pic>
                  <pic:nvPicPr>
                    <pic:cNvPr id="0" name="cropped_linux01-ipaddr.png"/>
                    <pic:cNvPicPr/>
                  </pic:nvPicPr>
                  <pic:blipFill>
                    <a:blip r:embed="rId16"/>
                    <a:stretch>
                      <a:fillRect/>
                    </a:stretch>
                  </pic:blipFill>
                  <pic:spPr>
                    <a:xfrm>
                      <a:off x="0" y="0"/>
                      <a:ext cx="5715000" cy="2753515"/>
                    </a:xfrm>
                    <a:prstGeom prst="rect"/>
                  </pic:spPr>
                </pic:pic>
              </a:graphicData>
            </a:graphic>
          </wp:inline>
        </w:drawing>
      </w:r>
    </w:p>
    <w:p>
      <w:pPr>
        <w:pStyle w:val="FigureCaption"/>
        <w:keepLines/>
        <w:jc w:val="center"/>
      </w:pPr>
      <w:r>
        <w:t>Figure 6. Linux01 static IPv4 addressing configured for the internal lab network.</w:t>
      </w:r>
    </w:p>
    <w:p>
      <w:pPr>
        <w:keepNext/>
        <w:jc w:val="center"/>
      </w:pPr>
      <w:r>
        <w:drawing>
          <wp:inline xmlns:a="http://schemas.openxmlformats.org/drawingml/2006/main" xmlns:pic="http://schemas.openxmlformats.org/drawingml/2006/picture">
            <wp:extent cx="5715000" cy="2749513"/>
            <wp:docPr id="7" name="Picture 7"/>
            <wp:cNvGraphicFramePr>
              <a:graphicFrameLocks noChangeAspect="1"/>
            </wp:cNvGraphicFramePr>
            <a:graphic>
              <a:graphicData uri="http://schemas.openxmlformats.org/drawingml/2006/picture">
                <pic:pic>
                  <pic:nvPicPr>
                    <pic:cNvPr id="0" name="cropped_linux01-network_config.png"/>
                    <pic:cNvPicPr/>
                  </pic:nvPicPr>
                  <pic:blipFill>
                    <a:blip r:embed="rId17"/>
                    <a:stretch>
                      <a:fillRect/>
                    </a:stretch>
                  </pic:blipFill>
                  <pic:spPr>
                    <a:xfrm>
                      <a:off x="0" y="0"/>
                      <a:ext cx="5715000" cy="2749513"/>
                    </a:xfrm>
                    <a:prstGeom prst="rect"/>
                  </pic:spPr>
                </pic:pic>
              </a:graphicData>
            </a:graphic>
          </wp:inline>
        </w:drawing>
      </w:r>
    </w:p>
    <w:p>
      <w:pPr>
        <w:pStyle w:val="FigureCaption"/>
        <w:keepLines/>
        <w:jc w:val="center"/>
      </w:pPr>
      <w:r>
        <w:t>Figure 7. Linux01 network configuration using the internal gateway and domain DNS server.</w:t>
      </w:r>
    </w:p>
    <w:p>
      <w:pPr>
        <w:pStyle w:val="Heading2"/>
      </w:pPr>
      <w:r>
        <w:t>Linux01 Active Directory Integration</w:t>
      </w:r>
    </w:p>
    <w:p>
      <w:pPr>
        <w:ind w:firstLine="720"/>
      </w:pPr>
      <w:r>
        <w:t>Linux01 is joined to ad.jeremyfontenot.online as a Kerberos member using realmd, SSSD, adcli, NSS, and PAM integration. The realm permits domain logons. The jeremy.fontenot domain account resolves through NSS and belongs to Domain Users, GG-Lab-Admins, GG-RDP-Allowed, Domain Admins, and related replication-control groups. SSSD was both enabled and active.</w:t>
      </w:r>
    </w:p>
    <w:p>
      <w:pPr>
        <w:pStyle w:val="Heading2"/>
      </w:pPr>
      <w:r>
        <w:t>Linux01 DNS and Kerberos Validation</w:t>
      </w:r>
    </w:p>
    <w:p>
      <w:pPr>
        <w:ind w:firstLine="720"/>
      </w:pPr>
      <w:r>
        <w:t>Forward resolution maps linux01.ad.jeremyfontenot.online to 10.10.20.20, reverse resolution maps 10.10.20.20 back to the Linux01 FQDN, and the domain controller resolves to 10.10.20.10. A valid Kerberos ticket-granting ticket was present for jeremy.fontenot@AD.JEREMYFONTENOT.ONLINE.</w:t>
      </w:r>
    </w:p>
    <w:p>
      <w:pPr>
        <w:pStyle w:val="Heading2"/>
      </w:pPr>
      <w:r>
        <w:t>Linux01 Security and Maintenance</w:t>
      </w:r>
    </w:p>
    <w:p>
      <w:pPr>
        <w:ind w:firstLine="720"/>
      </w:pPr>
      <w:r>
        <w:t>UFW was active with a default deny policy for incoming connections and an allow policy for outgoing connections. SSH on TCP 22 was limited to 10.10.20.0/24. SSH was enabled and active. The base sudoers file and the domain-admins drop-in parsed successfully, and a delegated sudo test returned root. The QEMU guest agent package was installed and active. No reboot was required at collection time.</w:t>
      </w:r>
    </w:p>
    <w:p>
      <w:pPr>
        <w:pStyle w:val="Heading1"/>
      </w:pPr>
      <w:r>
        <w:t>Evidence Collection and Integrity</w:t>
      </w:r>
    </w:p>
    <w:p>
      <w:pPr>
        <w:ind w:firstLine="720"/>
      </w:pPr>
      <w:r>
        <w:t>Linux01 evidence files were generated in a dedicated directory, hashed, and packaged into linux01-evidence-2026-06-21.tar.gz. The archive SHA-256 digest was 5c1eff369a0055338808a93c025847cc5997db4f04614a56ede33b43f9e9b8db. The archive was transferred from Linux01 to Proxmox with SCP and rehashed after transfer; the digest matched exactly.</w:t>
      </w:r>
    </w:p>
    <w:p>
      <w:pPr>
        <w:keepNext/>
        <w:jc w:val="center"/>
      </w:pPr>
      <w:r>
        <w:drawing>
          <wp:inline xmlns:a="http://schemas.openxmlformats.org/drawingml/2006/main" xmlns:pic="http://schemas.openxmlformats.org/drawingml/2006/picture">
            <wp:extent cx="5715000" cy="2076586"/>
            <wp:docPr id="8" name="Picture 8"/>
            <wp:cNvGraphicFramePr>
              <a:graphicFrameLocks noChangeAspect="1"/>
            </wp:cNvGraphicFramePr>
            <a:graphic>
              <a:graphicData uri="http://schemas.openxmlformats.org/drawingml/2006/picture">
                <pic:pic>
                  <pic:nvPicPr>
                    <pic:cNvPr id="0" name="cropped_a5000e44-8d02-4db0-a1d1-c3b58e36f1e6.png"/>
                    <pic:cNvPicPr/>
                  </pic:nvPicPr>
                  <pic:blipFill>
                    <a:blip r:embed="rId18"/>
                    <a:stretch>
                      <a:fillRect/>
                    </a:stretch>
                  </pic:blipFill>
                  <pic:spPr>
                    <a:xfrm>
                      <a:off x="0" y="0"/>
                      <a:ext cx="5715000" cy="2076586"/>
                    </a:xfrm>
                    <a:prstGeom prst="rect"/>
                  </pic:spPr>
                </pic:pic>
              </a:graphicData>
            </a:graphic>
          </wp:inline>
        </w:drawing>
      </w:r>
    </w:p>
    <w:p>
      <w:pPr>
        <w:pStyle w:val="FigureCaption"/>
        <w:keepLines/>
        <w:jc w:val="center"/>
      </w:pPr>
      <w:r>
        <w:t>Figure 8. Linux01 evidence archive contents and SHA-256 digest generation.</w:t>
      </w:r>
    </w:p>
    <w:p>
      <w:pPr>
        <w:keepNext/>
        <w:jc w:val="center"/>
      </w:pPr>
      <w:r>
        <w:drawing>
          <wp:inline xmlns:a="http://schemas.openxmlformats.org/drawingml/2006/main" xmlns:pic="http://schemas.openxmlformats.org/drawingml/2006/picture">
            <wp:extent cx="5715000" cy="1754862"/>
            <wp:docPr id="9" name="Picture 9"/>
            <wp:cNvGraphicFramePr>
              <a:graphicFrameLocks noChangeAspect="1"/>
            </wp:cNvGraphicFramePr>
            <a:graphic>
              <a:graphicData uri="http://schemas.openxmlformats.org/drawingml/2006/picture">
                <pic:pic>
                  <pic:nvPicPr>
                    <pic:cNvPr id="0" name="cropped_4644b6eb-d591-4f00-bc40-71dc4a4344c0.png"/>
                    <pic:cNvPicPr/>
                  </pic:nvPicPr>
                  <pic:blipFill>
                    <a:blip r:embed="rId19"/>
                    <a:stretch>
                      <a:fillRect/>
                    </a:stretch>
                  </pic:blipFill>
                  <pic:spPr>
                    <a:xfrm>
                      <a:off x="0" y="0"/>
                      <a:ext cx="5715000" cy="1754862"/>
                    </a:xfrm>
                    <a:prstGeom prst="rect"/>
                  </pic:spPr>
                </pic:pic>
              </a:graphicData>
            </a:graphic>
          </wp:inline>
        </w:drawing>
      </w:r>
    </w:p>
    <w:p>
      <w:pPr>
        <w:pStyle w:val="FigureCaption"/>
        <w:keepLines/>
        <w:jc w:val="center"/>
      </w:pPr>
      <w:r>
        <w:t>Figure 9. Successful secure copy of the Linux01 evidence archive to the Proxmox host.</w:t>
      </w:r>
    </w:p>
    <w:p>
      <w:pPr>
        <w:ind w:firstLine="720"/>
      </w:pPr>
      <w:r>
        <w:t>The central evidence directory was then repackaged as homelab-evidence-complete-2026-06-21.tar.gz. Its SHA-256 digest was e8a5a40a6960557383ccb152af2da71053e50382d8287d632b9ed5ad85cb7060. A copy was stored on the dedicated backup disk under /mnt/pve/backup-hdd/evidence-bundles, and the destination hash matched the source.</w:t>
      </w:r>
    </w:p>
    <w:p>
      <w:pPr>
        <w:pStyle w:val="Heading1"/>
      </w:pPr>
      <w:r>
        <w:t>Current Validated State</w:t>
      </w:r>
    </w:p>
    <w:tbl>
      <w:tblPr>
        <w:tblStyle w:val="TableGrid"/>
        <w:tblW w:type="auto" w:w="0"/>
        <w:jc w:val="center"/>
        <w:tblLook w:firstColumn="1" w:firstRow="1" w:lastColumn="0" w:lastRow="0" w:noHBand="0" w:noVBand="1" w:val="04A0"/>
      </w:tblPr>
      <w:tblGrid>
        <w:gridCol w:w="3120"/>
        <w:gridCol w:w="3120"/>
        <w:gridCol w:w="3120"/>
      </w:tblGrid>
      <w:tr>
        <w:tc>
          <w:tcPr>
            <w:tcW w:type="dxa" w:w="3120"/>
            <w:vAlign w:val="center"/>
            <w:shd w:fill="D9EAF7"/>
          </w:tcPr>
          <w:p>
            <w:pPr>
              <w:spacing w:line="240" w:lineRule="auto"/>
            </w:pPr>
            <w:r/>
            <w:r>
              <w:rPr>
                <w:rFonts w:ascii="Times New Roman" w:hAnsi="Times New Roman"/>
                <w:b/>
                <w:sz w:val="20"/>
              </w:rPr>
              <w:t>Area</w:t>
            </w:r>
          </w:p>
        </w:tc>
        <w:tc>
          <w:tcPr>
            <w:tcW w:type="dxa" w:w="3120"/>
            <w:vAlign w:val="center"/>
            <w:shd w:fill="D9EAF7"/>
          </w:tcPr>
          <w:p>
            <w:pPr>
              <w:spacing w:line="240" w:lineRule="auto"/>
            </w:pPr>
            <w:r/>
            <w:r>
              <w:rPr>
                <w:rFonts w:ascii="Times New Roman" w:hAnsi="Times New Roman"/>
                <w:b/>
                <w:sz w:val="20"/>
              </w:rPr>
              <w:t>Validated state</w:t>
            </w:r>
          </w:p>
        </w:tc>
        <w:tc>
          <w:tcPr>
            <w:tcW w:type="dxa" w:w="3120"/>
            <w:vAlign w:val="center"/>
            <w:shd w:fill="D9EAF7"/>
          </w:tcPr>
          <w:p>
            <w:pPr>
              <w:spacing w:line="240" w:lineRule="auto"/>
            </w:pPr>
            <w:r/>
            <w:r>
              <w:rPr>
                <w:rFonts w:ascii="Times New Roman" w:hAnsi="Times New Roman"/>
                <w:b/>
                <w:sz w:val="20"/>
              </w:rPr>
              <w:t>Evidence strength</w:t>
            </w:r>
          </w:p>
        </w:tc>
      </w:tr>
      <w:tr>
        <w:tc>
          <w:tcPr>
            <w:tcW w:type="dxa" w:w="3120"/>
            <w:vAlign w:val="center"/>
          </w:tcPr>
          <w:p>
            <w:pPr>
              <w:spacing w:line="240" w:lineRule="auto"/>
            </w:pPr>
            <w:r/>
            <w:r>
              <w:rPr>
                <w:rFonts w:ascii="Times New Roman" w:hAnsi="Times New Roman"/>
                <w:b w:val="0"/>
                <w:sz w:val="20"/>
              </w:rPr>
              <w:t>Hypervisor</w:t>
            </w:r>
          </w:p>
        </w:tc>
        <w:tc>
          <w:tcPr>
            <w:tcW w:type="dxa" w:w="3120"/>
            <w:vAlign w:val="center"/>
          </w:tcPr>
          <w:p>
            <w:pPr>
              <w:spacing w:line="240" w:lineRule="auto"/>
            </w:pPr>
            <w:r/>
            <w:r>
              <w:rPr>
                <w:rFonts w:ascii="Times New Roman" w:hAnsi="Times New Roman"/>
                <w:b w:val="0"/>
                <w:sz w:val="20"/>
              </w:rPr>
              <w:t>Proxmox host, bridges, storage, VM configuration exports</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Firewall and segmentation</w:t>
            </w:r>
          </w:p>
        </w:tc>
        <w:tc>
          <w:tcPr>
            <w:tcW w:type="dxa" w:w="3120"/>
            <w:vAlign w:val="center"/>
          </w:tcPr>
          <w:p>
            <w:pPr>
              <w:spacing w:line="240" w:lineRule="auto"/>
            </w:pPr>
            <w:r/>
            <w:r>
              <w:rPr>
                <w:rFonts w:ascii="Times New Roman" w:hAnsi="Times New Roman"/>
                <w:b w:val="0"/>
                <w:sz w:val="20"/>
              </w:rPr>
              <w:t>pfSense dual-interface VM and isolated internal network</w:t>
            </w:r>
          </w:p>
        </w:tc>
        <w:tc>
          <w:tcPr>
            <w:tcW w:type="dxa" w:w="3120"/>
            <w:vAlign w:val="center"/>
          </w:tcPr>
          <w:p>
            <w:pPr>
              <w:spacing w:line="240" w:lineRule="auto"/>
            </w:pPr>
            <w:r/>
            <w:r>
              <w:rPr>
                <w:rFonts w:ascii="Times New Roman" w:hAnsi="Times New Roman"/>
                <w:b w:val="0"/>
                <w:sz w:val="20"/>
              </w:rPr>
              <w:t>Configuration and screenshots</w:t>
            </w:r>
          </w:p>
        </w:tc>
      </w:tr>
      <w:tr>
        <w:tc>
          <w:tcPr>
            <w:tcW w:type="dxa" w:w="3120"/>
            <w:vAlign w:val="center"/>
          </w:tcPr>
          <w:p>
            <w:pPr>
              <w:spacing w:line="240" w:lineRule="auto"/>
            </w:pPr>
            <w:r/>
            <w:r>
              <w:rPr>
                <w:rFonts w:ascii="Times New Roman" w:hAnsi="Times New Roman"/>
                <w:b w:val="0"/>
                <w:sz w:val="20"/>
              </w:rPr>
              <w:t>Identity</w:t>
            </w:r>
          </w:p>
        </w:tc>
        <w:tc>
          <w:tcPr>
            <w:tcW w:type="dxa" w:w="3120"/>
            <w:vAlign w:val="center"/>
          </w:tcPr>
          <w:p>
            <w:pPr>
              <w:spacing w:line="240" w:lineRule="auto"/>
            </w:pPr>
            <w:r/>
            <w:r>
              <w:rPr>
                <w:rFonts w:ascii="Times New Roman" w:hAnsi="Times New Roman"/>
                <w:b w:val="0"/>
                <w:sz w:val="20"/>
              </w:rPr>
              <w:t>Single-domain AD forest, DC01 global catalog, all FSMO roles</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DNS</w:t>
            </w:r>
          </w:p>
        </w:tc>
        <w:tc>
          <w:tcPr>
            <w:tcW w:type="dxa" w:w="3120"/>
            <w:vAlign w:val="center"/>
          </w:tcPr>
          <w:p>
            <w:pPr>
              <w:spacing w:line="240" w:lineRule="auto"/>
            </w:pPr>
            <w:r/>
            <w:r>
              <w:rPr>
                <w:rFonts w:ascii="Times New Roman" w:hAnsi="Times New Roman"/>
                <w:b w:val="0"/>
                <w:sz w:val="20"/>
              </w:rPr>
              <w:t>AD-integrated forward/reverse zones and successful Linux01/DC01 lookups</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DHCP</w:t>
            </w:r>
          </w:p>
        </w:tc>
        <w:tc>
          <w:tcPr>
            <w:tcW w:type="dxa" w:w="3120"/>
            <w:vAlign w:val="center"/>
          </w:tcPr>
          <w:p>
            <w:pPr>
              <w:spacing w:line="240" w:lineRule="auto"/>
            </w:pPr>
            <w:r/>
            <w:r>
              <w:rPr>
                <w:rFonts w:ascii="Times New Roman" w:hAnsi="Times New Roman"/>
                <w:b w:val="0"/>
                <w:sz w:val="20"/>
              </w:rPr>
              <w:t>Authorized server, active scope, options, statistics, WS01/Linux01 leases</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Group Policy</w:t>
            </w:r>
          </w:p>
        </w:tc>
        <w:tc>
          <w:tcPr>
            <w:tcW w:type="dxa" w:w="3120"/>
            <w:vAlign w:val="center"/>
          </w:tcPr>
          <w:p>
            <w:pPr>
              <w:spacing w:line="240" w:lineRule="auto"/>
            </w:pPr>
            <w:r/>
            <w:r>
              <w:rPr>
                <w:rFonts w:ascii="Times New Roman" w:hAnsi="Times New Roman"/>
                <w:b w:val="0"/>
                <w:sz w:val="20"/>
              </w:rPr>
              <w:t>Domain and OU linked security/operations GPOs</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Linux</w:t>
            </w:r>
          </w:p>
        </w:tc>
        <w:tc>
          <w:tcPr>
            <w:tcW w:type="dxa" w:w="3120"/>
            <w:vAlign w:val="center"/>
          </w:tcPr>
          <w:p>
            <w:pPr>
              <w:spacing w:line="240" w:lineRule="auto"/>
            </w:pPr>
            <w:r/>
            <w:r>
              <w:rPr>
                <w:rFonts w:ascii="Times New Roman" w:hAnsi="Times New Roman"/>
                <w:b w:val="0"/>
                <w:sz w:val="20"/>
              </w:rPr>
              <w:t>Ubuntu, static network, AD join, SSSD, Kerberos, UFW, SSH, sudo, agent</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Backups</w:t>
            </w:r>
          </w:p>
        </w:tc>
        <w:tc>
          <w:tcPr>
            <w:tcW w:type="dxa" w:w="3120"/>
            <w:vAlign w:val="center"/>
          </w:tcPr>
          <w:p>
            <w:pPr>
              <w:spacing w:line="240" w:lineRule="auto"/>
            </w:pPr>
            <w:r/>
            <w:r>
              <w:rPr>
                <w:rFonts w:ascii="Times New Roman" w:hAnsi="Times New Roman"/>
                <w:b w:val="0"/>
                <w:sz w:val="20"/>
              </w:rPr>
              <w:t>Scheduled VM backup job and archive inventory including VM 400</w:t>
            </w:r>
          </w:p>
        </w:tc>
        <w:tc>
          <w:tcPr>
            <w:tcW w:type="dxa" w:w="3120"/>
            <w:vAlign w:val="center"/>
          </w:tcPr>
          <w:p>
            <w:pPr>
              <w:spacing w:line="240" w:lineRule="auto"/>
            </w:pPr>
            <w:r/>
            <w:r>
              <w:rPr>
                <w:rFonts w:ascii="Times New Roman" w:hAnsi="Times New Roman"/>
                <w:b w:val="0"/>
                <w:sz w:val="20"/>
              </w:rPr>
              <w:t>Direct command evidence</w:t>
            </w:r>
          </w:p>
        </w:tc>
      </w:tr>
      <w:tr>
        <w:tc>
          <w:tcPr>
            <w:tcW w:type="dxa" w:w="3120"/>
            <w:vAlign w:val="center"/>
          </w:tcPr>
          <w:p>
            <w:pPr>
              <w:spacing w:line="240" w:lineRule="auto"/>
            </w:pPr>
            <w:r/>
            <w:r>
              <w:rPr>
                <w:rFonts w:ascii="Times New Roman" w:hAnsi="Times New Roman"/>
                <w:b w:val="0"/>
                <w:sz w:val="20"/>
              </w:rPr>
              <w:t>Evidence integrity</w:t>
            </w:r>
          </w:p>
        </w:tc>
        <w:tc>
          <w:tcPr>
            <w:tcW w:type="dxa" w:w="3120"/>
            <w:vAlign w:val="center"/>
          </w:tcPr>
          <w:p>
            <w:pPr>
              <w:spacing w:line="240" w:lineRule="auto"/>
            </w:pPr>
            <w:r/>
            <w:r>
              <w:rPr>
                <w:rFonts w:ascii="Times New Roman" w:hAnsi="Times New Roman"/>
                <w:b w:val="0"/>
                <w:sz w:val="20"/>
              </w:rPr>
              <w:t>Nested and consolidated SHA-256 manifests plus transfer verification</w:t>
            </w:r>
          </w:p>
        </w:tc>
        <w:tc>
          <w:tcPr>
            <w:tcW w:type="dxa" w:w="3120"/>
            <w:vAlign w:val="center"/>
          </w:tcPr>
          <w:p>
            <w:pPr>
              <w:spacing w:line="240" w:lineRule="auto"/>
            </w:pPr>
            <w:r/>
            <w:r>
              <w:rPr>
                <w:rFonts w:ascii="Times New Roman" w:hAnsi="Times New Roman"/>
                <w:b w:val="0"/>
                <w:sz w:val="20"/>
              </w:rPr>
              <w:t>Cryptographic hash evidence</w:t>
            </w:r>
          </w:p>
        </w:tc>
      </w:tr>
    </w:tbl>
    <w:p/>
    <w:p>
      <w:pPr>
        <w:pStyle w:val="Heading1"/>
      </w:pPr>
      <w:r>
        <w:t>Skills Demonstrated</w:t>
      </w:r>
    </w:p>
    <w:p>
      <w:pPr>
        <w:pStyle w:val="ListBullet"/>
        <w:spacing w:line="480" w:lineRule="auto"/>
        <w:ind w:left="720" w:hanging="360"/>
      </w:pPr>
      <w:r>
        <w:t>Enterprise virtualization and VM lifecycle administration with Proxmox VE.</w:t>
      </w:r>
    </w:p>
    <w:p>
      <w:pPr>
        <w:pStyle w:val="ListBullet"/>
        <w:spacing w:line="480" w:lineRule="auto"/>
        <w:ind w:left="720" w:hanging="360"/>
      </w:pPr>
      <w:r>
        <w:t>Layer 2 and Layer 3 network design, segmentation, routing, NAT, and firewall administration.</w:t>
      </w:r>
    </w:p>
    <w:p>
      <w:pPr>
        <w:pStyle w:val="ListBullet"/>
        <w:spacing w:line="480" w:lineRule="auto"/>
        <w:ind w:left="720" w:hanging="360"/>
      </w:pPr>
      <w:r>
        <w:t>Windows Server 2022 deployment and Active Directory forest/domain administration.</w:t>
      </w:r>
    </w:p>
    <w:p>
      <w:pPr>
        <w:pStyle w:val="ListBullet"/>
        <w:spacing w:line="480" w:lineRule="auto"/>
        <w:ind w:left="720" w:hanging="360"/>
      </w:pPr>
      <w:r>
        <w:t>DNS, DHCP, Group Policy, role-based access, and remote administration.</w:t>
      </w:r>
    </w:p>
    <w:p>
      <w:pPr>
        <w:pStyle w:val="ListBullet"/>
        <w:spacing w:line="480" w:lineRule="auto"/>
        <w:ind w:left="720" w:hanging="360"/>
      </w:pPr>
      <w:r>
        <w:t>Ubuntu Server installation, static networking, SSSD/realmd domain integration, Kerberos, SSH, UFW, and sudo.</w:t>
      </w:r>
    </w:p>
    <w:p>
      <w:pPr>
        <w:pStyle w:val="ListBullet"/>
        <w:spacing w:line="480" w:lineRule="auto"/>
        <w:ind w:left="720" w:hanging="360"/>
      </w:pPr>
      <w:r>
        <w:t>Snapshot and scheduled-backup administration with validation of archive presence and storage capacity.</w:t>
      </w:r>
    </w:p>
    <w:p>
      <w:pPr>
        <w:pStyle w:val="ListBullet"/>
        <w:spacing w:line="480" w:lineRule="auto"/>
        <w:ind w:left="720" w:hanging="360"/>
      </w:pPr>
      <w:r>
        <w:t>Evidence handling, SHA-256 integrity verification, secure transfer, and professional technical documentation.</w:t>
      </w:r>
    </w:p>
    <w:p>
      <w:pPr>
        <w:pStyle w:val="Heading1"/>
      </w:pPr>
      <w:r>
        <w:t>Limitations and Risk Treatment</w:t>
      </w:r>
    </w:p>
    <w:p>
      <w:pPr>
        <w:ind w:firstLine="720"/>
      </w:pPr>
      <w:r>
        <w:t>This environment contains one domain controller and is not designed for production availability. Local snapshots are rollback points rather than independent backups. Backup archive presence does not replace an isolated restore test. Direct RDP port forwarding should remain restricted to a trusted administrative source or be replaced with a VPN. The lab is intentionally scoped as a personal skills-validation environment.</w:t>
      </w:r>
    </w:p>
    <w:p>
      <w:pPr>
        <w:pStyle w:val="Heading1"/>
      </w:pPr>
      <w:r>
        <w:t>Recommended Next Steps</w:t>
      </w:r>
    </w:p>
    <w:p>
      <w:pPr>
        <w:pStyle w:val="ListBullet"/>
        <w:spacing w:line="480" w:lineRule="auto"/>
        <w:ind w:left="720" w:hanging="360"/>
      </w:pPr>
      <w:r>
        <w:t>Perform and document an isolated restore of one Windows VM and Linux01 to alternate VM IDs.</w:t>
      </w:r>
    </w:p>
    <w:p>
      <w:pPr>
        <w:pStyle w:val="ListBullet"/>
        <w:spacing w:line="480" w:lineRule="auto"/>
        <w:ind w:left="720" w:hanging="360"/>
      </w:pPr>
      <w:r>
        <w:t>Export and retain a current pfSense configuration backup and rule inventory.</w:t>
      </w:r>
    </w:p>
    <w:p>
      <w:pPr>
        <w:pStyle w:val="ListBullet"/>
        <w:spacing w:line="480" w:lineRule="auto"/>
        <w:ind w:left="720" w:hanging="360"/>
      </w:pPr>
      <w:r>
        <w:t>Replace direct RDP forwarding with VPN-based administrative access where practical.</w:t>
      </w:r>
    </w:p>
    <w:p>
      <w:pPr>
        <w:pStyle w:val="ListBullet"/>
        <w:spacing w:line="480" w:lineRule="auto"/>
        <w:ind w:left="720" w:hanging="360"/>
      </w:pPr>
      <w:r>
        <w:t>Add centralized log collection and alerting for Windows, Linux, pfSense, and Proxmox.</w:t>
      </w:r>
    </w:p>
    <w:p>
      <w:pPr>
        <w:pStyle w:val="ListBullet"/>
        <w:spacing w:line="480" w:lineRule="auto"/>
        <w:ind w:left="720" w:hanging="360"/>
      </w:pPr>
      <w:r>
        <w:t>Implement a second domain controller only if the lab is expanded to test replication and resilience.</w:t>
      </w:r>
    </w:p>
    <w:p>
      <w:pPr>
        <w:pStyle w:val="Heading1"/>
      </w:pPr>
      <w:r>
        <w:t>Conclusion</w:t>
      </w:r>
    </w:p>
    <w:p>
      <w:pPr>
        <w:ind w:firstLine="720"/>
      </w:pPr>
      <w:r>
        <w:t>The completed lab demonstrates a coherent infrastructure stack across hardware, virtualization, networking, identity, Windows administration, Linux administration, security controls, snapshots, backups, and evidence integrity. The command-generated records and retained screenshots provide verifiable support for the documented configuration and show a repeatable process of implementation, validation, correction, and preservation.</w:t>
      </w:r>
    </w:p>
    <w:p>
      <w:r>
        <w:br w:type="page"/>
      </w:r>
    </w:p>
    <w:p>
      <w:pPr>
        <w:pStyle w:val="Heading1"/>
      </w:pPr>
      <w:r>
        <w:t>Appendix A: Evidence File Inventory</w:t>
      </w:r>
    </w:p>
    <w:tbl>
      <w:tblPr>
        <w:tblStyle w:val="TableGrid"/>
        <w:tblW w:type="auto" w:w="0"/>
        <w:jc w:val="center"/>
        <w:tblLook w:firstColumn="1" w:firstRow="1" w:lastColumn="0" w:lastRow="0" w:noHBand="0" w:noVBand="1" w:val="04A0"/>
      </w:tblPr>
      <w:tblGrid>
        <w:gridCol w:w="4680"/>
        <w:gridCol w:w="4680"/>
      </w:tblGrid>
      <w:tr>
        <w:tc>
          <w:tcPr>
            <w:tcW w:type="dxa" w:w="4680"/>
            <w:vAlign w:val="center"/>
            <w:shd w:fill="D9EAF7"/>
          </w:tcPr>
          <w:p>
            <w:pPr>
              <w:spacing w:line="240" w:lineRule="auto"/>
            </w:pPr>
            <w:r/>
            <w:r>
              <w:rPr>
                <w:rFonts w:ascii="Times New Roman" w:hAnsi="Times New Roman"/>
                <w:b/>
                <w:sz w:val="20"/>
              </w:rPr>
              <w:t>Evidence file</w:t>
            </w:r>
          </w:p>
        </w:tc>
        <w:tc>
          <w:tcPr>
            <w:tcW w:type="dxa" w:w="4680"/>
            <w:vAlign w:val="center"/>
            <w:shd w:fill="D9EAF7"/>
          </w:tcPr>
          <w:p>
            <w:pPr>
              <w:spacing w:line="240" w:lineRule="auto"/>
            </w:pPr>
            <w:r/>
            <w:r>
              <w:rPr>
                <w:rFonts w:ascii="Times New Roman" w:hAnsi="Times New Roman"/>
                <w:b/>
                <w:sz w:val="20"/>
              </w:rPr>
              <w:t>Size</w:t>
            </w:r>
          </w:p>
        </w:tc>
      </w:tr>
      <w:tr>
        <w:tc>
          <w:tcPr>
            <w:tcW w:type="dxa" w:w="4680"/>
            <w:vAlign w:val="center"/>
          </w:tcPr>
          <w:p>
            <w:pPr>
              <w:spacing w:line="240" w:lineRule="auto"/>
            </w:pPr>
            <w:r/>
            <w:r>
              <w:rPr>
                <w:rFonts w:ascii="Times New Roman" w:hAnsi="Times New Roman"/>
                <w:b w:val="0"/>
                <w:sz w:val="20"/>
              </w:rPr>
              <w:t>SHA256SUMS.txt</w:t>
            </w:r>
          </w:p>
        </w:tc>
        <w:tc>
          <w:tcPr>
            <w:tcW w:type="dxa" w:w="4680"/>
            <w:vAlign w:val="center"/>
          </w:tcPr>
          <w:p>
            <w:pPr>
              <w:spacing w:line="240" w:lineRule="auto"/>
            </w:pPr>
            <w:r/>
            <w:r>
              <w:rPr>
                <w:rFonts w:ascii="Times New Roman" w:hAnsi="Times New Roman"/>
                <w:b w:val="0"/>
                <w:sz w:val="20"/>
              </w:rPr>
              <w:t>1,752 bytes</w:t>
            </w:r>
          </w:p>
        </w:tc>
      </w:tr>
      <w:tr>
        <w:tc>
          <w:tcPr>
            <w:tcW w:type="dxa" w:w="4680"/>
            <w:vAlign w:val="center"/>
          </w:tcPr>
          <w:p>
            <w:pPr>
              <w:spacing w:line="240" w:lineRule="auto"/>
            </w:pPr>
            <w:r/>
            <w:r>
              <w:rPr>
                <w:rFonts w:ascii="Times New Roman" w:hAnsi="Times New Roman"/>
                <w:b w:val="0"/>
                <w:sz w:val="20"/>
              </w:rPr>
              <w:t>backups/proxmox-backup-validation.txt</w:t>
            </w:r>
          </w:p>
        </w:tc>
        <w:tc>
          <w:tcPr>
            <w:tcW w:type="dxa" w:w="4680"/>
            <w:vAlign w:val="center"/>
          </w:tcPr>
          <w:p>
            <w:pPr>
              <w:spacing w:line="240" w:lineRule="auto"/>
            </w:pPr>
            <w:r/>
            <w:r>
              <w:rPr>
                <w:rFonts w:ascii="Times New Roman" w:hAnsi="Times New Roman"/>
                <w:b w:val="0"/>
                <w:sz w:val="20"/>
              </w:rPr>
              <w:t>12,573 bytes</w:t>
            </w:r>
          </w:p>
        </w:tc>
      </w:tr>
      <w:tr>
        <w:tc>
          <w:tcPr>
            <w:tcW w:type="dxa" w:w="4680"/>
            <w:vAlign w:val="center"/>
          </w:tcPr>
          <w:p>
            <w:pPr>
              <w:spacing w:line="240" w:lineRule="auto"/>
            </w:pPr>
            <w:r/>
            <w:r>
              <w:rPr>
                <w:rFonts w:ascii="Times New Roman" w:hAnsi="Times New Roman"/>
                <w:b w:val="0"/>
                <w:sz w:val="20"/>
              </w:rPr>
              <w:t>backups/vm-400-backup-validation.txt</w:t>
            </w:r>
          </w:p>
        </w:tc>
        <w:tc>
          <w:tcPr>
            <w:tcW w:type="dxa" w:w="4680"/>
            <w:vAlign w:val="center"/>
          </w:tcPr>
          <w:p>
            <w:pPr>
              <w:spacing w:line="240" w:lineRule="auto"/>
            </w:pPr>
            <w:r/>
            <w:r>
              <w:rPr>
                <w:rFonts w:ascii="Times New Roman" w:hAnsi="Times New Roman"/>
                <w:b w:val="0"/>
                <w:sz w:val="20"/>
              </w:rPr>
              <w:t>565 bytes</w:t>
            </w:r>
          </w:p>
        </w:tc>
      </w:tr>
      <w:tr>
        <w:tc>
          <w:tcPr>
            <w:tcW w:type="dxa" w:w="4680"/>
            <w:vAlign w:val="center"/>
          </w:tcPr>
          <w:p>
            <w:pPr>
              <w:spacing w:line="240" w:lineRule="auto"/>
            </w:pPr>
            <w:r/>
            <w:r>
              <w:rPr>
                <w:rFonts w:ascii="Times New Roman" w:hAnsi="Times New Roman"/>
                <w:b w:val="0"/>
                <w:sz w:val="20"/>
              </w:rPr>
              <w:t>guest-bundles/linux01-evidence-2026-06-21.tar.gz</w:t>
            </w:r>
          </w:p>
        </w:tc>
        <w:tc>
          <w:tcPr>
            <w:tcW w:type="dxa" w:w="4680"/>
            <w:vAlign w:val="center"/>
          </w:tcPr>
          <w:p>
            <w:pPr>
              <w:spacing w:line="240" w:lineRule="auto"/>
            </w:pPr>
            <w:r/>
            <w:r>
              <w:rPr>
                <w:rFonts w:ascii="Times New Roman" w:hAnsi="Times New Roman"/>
                <w:b w:val="0"/>
                <w:sz w:val="20"/>
              </w:rPr>
              <w:t>3,496 bytes</w:t>
            </w:r>
          </w:p>
        </w:tc>
      </w:tr>
      <w:tr>
        <w:tc>
          <w:tcPr>
            <w:tcW w:type="dxa" w:w="4680"/>
            <w:vAlign w:val="center"/>
          </w:tcPr>
          <w:p>
            <w:pPr>
              <w:spacing w:line="240" w:lineRule="auto"/>
            </w:pPr>
            <w:r/>
            <w:r>
              <w:rPr>
                <w:rFonts w:ascii="Times New Roman" w:hAnsi="Times New Roman"/>
                <w:b w:val="0"/>
                <w:sz w:val="20"/>
              </w:rPr>
              <w:t>host/proxmox-host-validation.txt</w:t>
            </w:r>
          </w:p>
        </w:tc>
        <w:tc>
          <w:tcPr>
            <w:tcW w:type="dxa" w:w="4680"/>
            <w:vAlign w:val="center"/>
          </w:tcPr>
          <w:p>
            <w:pPr>
              <w:spacing w:line="240" w:lineRule="auto"/>
            </w:pPr>
            <w:r/>
            <w:r>
              <w:rPr>
                <w:rFonts w:ascii="Times New Roman" w:hAnsi="Times New Roman"/>
                <w:b w:val="0"/>
                <w:sz w:val="20"/>
              </w:rPr>
              <w:t>7,978 bytes</w:t>
            </w:r>
          </w:p>
        </w:tc>
      </w:tr>
      <w:tr>
        <w:tc>
          <w:tcPr>
            <w:tcW w:type="dxa" w:w="4680"/>
            <w:vAlign w:val="center"/>
          </w:tcPr>
          <w:p>
            <w:pPr>
              <w:spacing w:line="240" w:lineRule="auto"/>
            </w:pPr>
            <w:r/>
            <w:r>
              <w:rPr>
                <w:rFonts w:ascii="Times New Roman" w:hAnsi="Times New Roman"/>
                <w:b w:val="0"/>
                <w:sz w:val="20"/>
              </w:rPr>
              <w:t>networking/proxmox-network-validation.txt</w:t>
            </w:r>
          </w:p>
        </w:tc>
        <w:tc>
          <w:tcPr>
            <w:tcW w:type="dxa" w:w="4680"/>
            <w:vAlign w:val="center"/>
          </w:tcPr>
          <w:p>
            <w:pPr>
              <w:spacing w:line="240" w:lineRule="auto"/>
            </w:pPr>
            <w:r/>
            <w:r>
              <w:rPr>
                <w:rFonts w:ascii="Times New Roman" w:hAnsi="Times New Roman"/>
                <w:b w:val="0"/>
                <w:sz w:val="20"/>
              </w:rPr>
              <w:t>374,989 bytes</w:t>
            </w:r>
          </w:p>
        </w:tc>
      </w:tr>
      <w:tr>
        <w:tc>
          <w:tcPr>
            <w:tcW w:type="dxa" w:w="4680"/>
            <w:vAlign w:val="center"/>
          </w:tcPr>
          <w:p>
            <w:pPr>
              <w:spacing w:line="240" w:lineRule="auto"/>
            </w:pPr>
            <w:r/>
            <w:r>
              <w:rPr>
                <w:rFonts w:ascii="Times New Roman" w:hAnsi="Times New Roman"/>
                <w:b w:val="0"/>
                <w:sz w:val="20"/>
              </w:rPr>
              <w:t>snapshots/vm-100-snapshots.txt</w:t>
            </w:r>
          </w:p>
        </w:tc>
        <w:tc>
          <w:tcPr>
            <w:tcW w:type="dxa" w:w="4680"/>
            <w:vAlign w:val="center"/>
          </w:tcPr>
          <w:p>
            <w:pPr>
              <w:spacing w:line="240" w:lineRule="auto"/>
            </w:pPr>
            <w:r/>
            <w:r>
              <w:rPr>
                <w:rFonts w:ascii="Times New Roman" w:hAnsi="Times New Roman"/>
                <w:b w:val="0"/>
                <w:sz w:val="20"/>
              </w:rPr>
              <w:t>378 bytes</w:t>
            </w:r>
          </w:p>
        </w:tc>
      </w:tr>
      <w:tr>
        <w:tc>
          <w:tcPr>
            <w:tcW w:type="dxa" w:w="4680"/>
            <w:vAlign w:val="center"/>
          </w:tcPr>
          <w:p>
            <w:pPr>
              <w:spacing w:line="240" w:lineRule="auto"/>
            </w:pPr>
            <w:r/>
            <w:r>
              <w:rPr>
                <w:rFonts w:ascii="Times New Roman" w:hAnsi="Times New Roman"/>
                <w:b w:val="0"/>
                <w:sz w:val="20"/>
              </w:rPr>
              <w:t>snapshots/vm-200-snapshots.txt</w:t>
            </w:r>
          </w:p>
        </w:tc>
        <w:tc>
          <w:tcPr>
            <w:tcW w:type="dxa" w:w="4680"/>
            <w:vAlign w:val="center"/>
          </w:tcPr>
          <w:p>
            <w:pPr>
              <w:spacing w:line="240" w:lineRule="auto"/>
            </w:pPr>
            <w:r/>
            <w:r>
              <w:rPr>
                <w:rFonts w:ascii="Times New Roman" w:hAnsi="Times New Roman"/>
                <w:b w:val="0"/>
                <w:sz w:val="20"/>
              </w:rPr>
              <w:t>423 bytes</w:t>
            </w:r>
          </w:p>
        </w:tc>
      </w:tr>
      <w:tr>
        <w:tc>
          <w:tcPr>
            <w:tcW w:type="dxa" w:w="4680"/>
            <w:vAlign w:val="center"/>
          </w:tcPr>
          <w:p>
            <w:pPr>
              <w:spacing w:line="240" w:lineRule="auto"/>
            </w:pPr>
            <w:r/>
            <w:r>
              <w:rPr>
                <w:rFonts w:ascii="Times New Roman" w:hAnsi="Times New Roman"/>
                <w:b w:val="0"/>
                <w:sz w:val="20"/>
              </w:rPr>
              <w:t>snapshots/vm-300-snapshots.txt</w:t>
            </w:r>
          </w:p>
        </w:tc>
        <w:tc>
          <w:tcPr>
            <w:tcW w:type="dxa" w:w="4680"/>
            <w:vAlign w:val="center"/>
          </w:tcPr>
          <w:p>
            <w:pPr>
              <w:spacing w:line="240" w:lineRule="auto"/>
            </w:pPr>
            <w:r/>
            <w:r>
              <w:rPr>
                <w:rFonts w:ascii="Times New Roman" w:hAnsi="Times New Roman"/>
                <w:b w:val="0"/>
                <w:sz w:val="20"/>
              </w:rPr>
              <w:t>404 bytes</w:t>
            </w:r>
          </w:p>
        </w:tc>
      </w:tr>
      <w:tr>
        <w:tc>
          <w:tcPr>
            <w:tcW w:type="dxa" w:w="4680"/>
            <w:vAlign w:val="center"/>
          </w:tcPr>
          <w:p>
            <w:pPr>
              <w:spacing w:line="240" w:lineRule="auto"/>
            </w:pPr>
            <w:r/>
            <w:r>
              <w:rPr>
                <w:rFonts w:ascii="Times New Roman" w:hAnsi="Times New Roman"/>
                <w:b w:val="0"/>
                <w:sz w:val="20"/>
              </w:rPr>
              <w:t>snapshots/vm-400-snapshots.txt</w:t>
            </w:r>
          </w:p>
        </w:tc>
        <w:tc>
          <w:tcPr>
            <w:tcW w:type="dxa" w:w="4680"/>
            <w:vAlign w:val="center"/>
          </w:tcPr>
          <w:p>
            <w:pPr>
              <w:spacing w:line="240" w:lineRule="auto"/>
            </w:pPr>
            <w:r/>
            <w:r>
              <w:rPr>
                <w:rFonts w:ascii="Times New Roman" w:hAnsi="Times New Roman"/>
                <w:b w:val="0"/>
                <w:sz w:val="20"/>
              </w:rPr>
              <w:t>462 bytes</w:t>
            </w:r>
          </w:p>
        </w:tc>
      </w:tr>
      <w:tr>
        <w:tc>
          <w:tcPr>
            <w:tcW w:type="dxa" w:w="4680"/>
            <w:vAlign w:val="center"/>
          </w:tcPr>
          <w:p>
            <w:pPr>
              <w:spacing w:line="240" w:lineRule="auto"/>
            </w:pPr>
            <w:r/>
            <w:r>
              <w:rPr>
                <w:rFonts w:ascii="Times New Roman" w:hAnsi="Times New Roman"/>
                <w:b w:val="0"/>
                <w:sz w:val="20"/>
              </w:rPr>
              <w:t>storage/proxmox-storage-validation.txt</w:t>
            </w:r>
          </w:p>
        </w:tc>
        <w:tc>
          <w:tcPr>
            <w:tcW w:type="dxa" w:w="4680"/>
            <w:vAlign w:val="center"/>
          </w:tcPr>
          <w:p>
            <w:pPr>
              <w:spacing w:line="240" w:lineRule="auto"/>
            </w:pPr>
            <w:r/>
            <w:r>
              <w:rPr>
                <w:rFonts w:ascii="Times New Roman" w:hAnsi="Times New Roman"/>
                <w:b w:val="0"/>
                <w:sz w:val="20"/>
              </w:rPr>
              <w:t>5,519 bytes</w:t>
            </w:r>
          </w:p>
        </w:tc>
      </w:tr>
      <w:tr>
        <w:tc>
          <w:tcPr>
            <w:tcW w:type="dxa" w:w="4680"/>
            <w:vAlign w:val="center"/>
          </w:tcPr>
          <w:p>
            <w:pPr>
              <w:spacing w:line="240" w:lineRule="auto"/>
            </w:pPr>
            <w:r/>
            <w:r>
              <w:rPr>
                <w:rFonts w:ascii="Times New Roman" w:hAnsi="Times New Roman"/>
                <w:b w:val="0"/>
                <w:sz w:val="20"/>
              </w:rPr>
              <w:t>vm-configs/vm-100-configuration.txt</w:t>
            </w:r>
          </w:p>
        </w:tc>
        <w:tc>
          <w:tcPr>
            <w:tcW w:type="dxa" w:w="4680"/>
            <w:vAlign w:val="center"/>
          </w:tcPr>
          <w:p>
            <w:pPr>
              <w:spacing w:line="240" w:lineRule="auto"/>
            </w:pPr>
            <w:r/>
            <w:r>
              <w:rPr>
                <w:rFonts w:ascii="Times New Roman" w:hAnsi="Times New Roman"/>
                <w:b w:val="0"/>
                <w:sz w:val="20"/>
              </w:rPr>
              <w:t>589 bytes</w:t>
            </w:r>
          </w:p>
        </w:tc>
      </w:tr>
      <w:tr>
        <w:tc>
          <w:tcPr>
            <w:tcW w:type="dxa" w:w="4680"/>
            <w:vAlign w:val="center"/>
          </w:tcPr>
          <w:p>
            <w:pPr>
              <w:spacing w:line="240" w:lineRule="auto"/>
            </w:pPr>
            <w:r/>
            <w:r>
              <w:rPr>
                <w:rFonts w:ascii="Times New Roman" w:hAnsi="Times New Roman"/>
                <w:b w:val="0"/>
                <w:sz w:val="20"/>
              </w:rPr>
              <w:t>vm-configs/vm-200-configuration.txt</w:t>
            </w:r>
          </w:p>
        </w:tc>
        <w:tc>
          <w:tcPr>
            <w:tcW w:type="dxa" w:w="4680"/>
            <w:vAlign w:val="center"/>
          </w:tcPr>
          <w:p>
            <w:pPr>
              <w:spacing w:line="240" w:lineRule="auto"/>
            </w:pPr>
            <w:r/>
            <w:r>
              <w:rPr>
                <w:rFonts w:ascii="Times New Roman" w:hAnsi="Times New Roman"/>
                <w:b w:val="0"/>
                <w:sz w:val="20"/>
              </w:rPr>
              <w:t>643 bytes</w:t>
            </w:r>
          </w:p>
        </w:tc>
      </w:tr>
      <w:tr>
        <w:tc>
          <w:tcPr>
            <w:tcW w:type="dxa" w:w="4680"/>
            <w:vAlign w:val="center"/>
          </w:tcPr>
          <w:p>
            <w:pPr>
              <w:spacing w:line="240" w:lineRule="auto"/>
            </w:pPr>
            <w:r/>
            <w:r>
              <w:rPr>
                <w:rFonts w:ascii="Times New Roman" w:hAnsi="Times New Roman"/>
                <w:b w:val="0"/>
                <w:sz w:val="20"/>
              </w:rPr>
              <w:t>vm-configs/vm-300-configuration.txt</w:t>
            </w:r>
          </w:p>
        </w:tc>
        <w:tc>
          <w:tcPr>
            <w:tcW w:type="dxa" w:w="4680"/>
            <w:vAlign w:val="center"/>
          </w:tcPr>
          <w:p>
            <w:pPr>
              <w:spacing w:line="240" w:lineRule="auto"/>
            </w:pPr>
            <w:r/>
            <w:r>
              <w:rPr>
                <w:rFonts w:ascii="Times New Roman" w:hAnsi="Times New Roman"/>
                <w:b w:val="0"/>
                <w:sz w:val="20"/>
              </w:rPr>
              <w:t>643 bytes</w:t>
            </w:r>
          </w:p>
        </w:tc>
      </w:tr>
      <w:tr>
        <w:tc>
          <w:tcPr>
            <w:tcW w:type="dxa" w:w="4680"/>
            <w:vAlign w:val="center"/>
          </w:tcPr>
          <w:p>
            <w:pPr>
              <w:spacing w:line="240" w:lineRule="auto"/>
            </w:pPr>
            <w:r/>
            <w:r>
              <w:rPr>
                <w:rFonts w:ascii="Times New Roman" w:hAnsi="Times New Roman"/>
                <w:b w:val="0"/>
                <w:sz w:val="20"/>
              </w:rPr>
              <w:t>vm-configs/vm-400-configuration.txt</w:t>
            </w:r>
          </w:p>
        </w:tc>
        <w:tc>
          <w:tcPr>
            <w:tcW w:type="dxa" w:w="4680"/>
            <w:vAlign w:val="center"/>
          </w:tcPr>
          <w:p>
            <w:pPr>
              <w:spacing w:line="240" w:lineRule="auto"/>
            </w:pPr>
            <w:r/>
            <w:r>
              <w:rPr>
                <w:rFonts w:ascii="Times New Roman" w:hAnsi="Times New Roman"/>
                <w:b w:val="0"/>
                <w:sz w:val="20"/>
              </w:rPr>
              <w:t>593 bytes</w:t>
            </w:r>
          </w:p>
        </w:tc>
      </w:tr>
    </w:tbl>
    <w:p/>
    <w:p>
      <w:pPr>
        <w:pStyle w:val="Heading1"/>
      </w:pPr>
      <w:r>
        <w:t>Appendix B: Key SHA-256 Digests</w:t>
      </w:r>
    </w:p>
    <w:tbl>
      <w:tblPr>
        <w:tblStyle w:val="TableGrid"/>
        <w:tblW w:type="auto" w:w="0"/>
        <w:jc w:val="center"/>
        <w:tblLook w:firstColumn="1" w:firstRow="1" w:lastColumn="0" w:lastRow="0" w:noHBand="0" w:noVBand="1" w:val="04A0"/>
      </w:tblPr>
      <w:tblGrid>
        <w:gridCol w:w="4680"/>
        <w:gridCol w:w="4680"/>
      </w:tblGrid>
      <w:tr>
        <w:tc>
          <w:tcPr>
            <w:tcW w:type="dxa" w:w="4680"/>
            <w:vAlign w:val="center"/>
            <w:shd w:fill="D9EAF7"/>
          </w:tcPr>
          <w:p>
            <w:pPr>
              <w:spacing w:line="240" w:lineRule="auto"/>
            </w:pPr>
            <w:r/>
            <w:r>
              <w:rPr>
                <w:rFonts w:ascii="Times New Roman" w:hAnsi="Times New Roman"/>
                <w:b/>
                <w:sz w:val="20"/>
              </w:rPr>
              <w:t>Artifact</w:t>
            </w:r>
          </w:p>
        </w:tc>
        <w:tc>
          <w:tcPr>
            <w:tcW w:type="dxa" w:w="4680"/>
            <w:vAlign w:val="center"/>
            <w:shd w:fill="D9EAF7"/>
          </w:tcPr>
          <w:p>
            <w:pPr>
              <w:spacing w:line="240" w:lineRule="auto"/>
            </w:pPr>
            <w:r/>
            <w:r>
              <w:rPr>
                <w:rFonts w:ascii="Times New Roman" w:hAnsi="Times New Roman"/>
                <w:b/>
                <w:sz w:val="20"/>
              </w:rPr>
              <w:t>SHA-256</w:t>
            </w:r>
          </w:p>
        </w:tc>
      </w:tr>
      <w:tr>
        <w:tc>
          <w:tcPr>
            <w:tcW w:type="dxa" w:w="4680"/>
            <w:vAlign w:val="center"/>
          </w:tcPr>
          <w:p>
            <w:pPr>
              <w:spacing w:line="240" w:lineRule="auto"/>
            </w:pPr>
            <w:r/>
            <w:r>
              <w:rPr>
                <w:rFonts w:ascii="Times New Roman" w:hAnsi="Times New Roman"/>
                <w:b w:val="0"/>
                <w:sz w:val="20"/>
              </w:rPr>
              <w:t>Linux01 evidence archive</w:t>
            </w:r>
          </w:p>
        </w:tc>
        <w:tc>
          <w:tcPr>
            <w:tcW w:type="dxa" w:w="4680"/>
            <w:vAlign w:val="center"/>
          </w:tcPr>
          <w:p>
            <w:pPr>
              <w:spacing w:line="240" w:lineRule="auto"/>
            </w:pPr>
            <w:r/>
            <w:r>
              <w:rPr>
                <w:rFonts w:ascii="Times New Roman" w:hAnsi="Times New Roman"/>
                <w:b w:val="0"/>
                <w:sz w:val="20"/>
              </w:rPr>
              <w:t>5c1eff369a0055338808a93c025847cc5997db4f04614a56ede33b43f9e9b8db</w:t>
            </w:r>
          </w:p>
        </w:tc>
      </w:tr>
      <w:tr>
        <w:tc>
          <w:tcPr>
            <w:tcW w:type="dxa" w:w="4680"/>
            <w:vAlign w:val="center"/>
          </w:tcPr>
          <w:p>
            <w:pPr>
              <w:spacing w:line="240" w:lineRule="auto"/>
            </w:pPr>
            <w:r/>
            <w:r>
              <w:rPr>
                <w:rFonts w:ascii="Times New Roman" w:hAnsi="Times New Roman"/>
                <w:b w:val="0"/>
                <w:sz w:val="20"/>
              </w:rPr>
              <w:t>Complete evidence archive</w:t>
            </w:r>
          </w:p>
        </w:tc>
        <w:tc>
          <w:tcPr>
            <w:tcW w:type="dxa" w:w="4680"/>
            <w:vAlign w:val="center"/>
          </w:tcPr>
          <w:p>
            <w:pPr>
              <w:spacing w:line="240" w:lineRule="auto"/>
            </w:pPr>
            <w:r/>
            <w:r>
              <w:rPr>
                <w:rFonts w:ascii="Times New Roman" w:hAnsi="Times New Roman"/>
                <w:b w:val="0"/>
                <w:sz w:val="20"/>
              </w:rPr>
              <w:t>e8a5a40a6960557383ccb152af2da71053e50382d8287d632b9ed5ad85cb7060</w:t>
            </w:r>
          </w:p>
        </w:tc>
      </w:tr>
    </w:tbl>
    <w:p/>
    <w:p>
      <w:pPr>
        <w:pStyle w:val="Heading1"/>
      </w:pPr>
      <w:r>
        <w:t>Appendix C: Key Validation Commands</w:t>
      </w:r>
    </w:p>
    <w:p>
      <w:pPr>
        <w:spacing w:line="240" w:lineRule="auto"/>
        <w:ind w:left="720"/>
      </w:pPr>
      <w:r>
        <w:rPr>
          <w:rFonts w:ascii="Courier New" w:hAnsi="Courier New"/>
          <w:sz w:val="20"/>
        </w:rPr>
        <w:t>pvesh get /cluster/backup</w:t>
      </w:r>
    </w:p>
    <w:p>
      <w:pPr>
        <w:spacing w:line="240" w:lineRule="auto"/>
        <w:ind w:left="720"/>
      </w:pPr>
      <w:r>
        <w:rPr>
          <w:rFonts w:ascii="Courier New" w:hAnsi="Courier New"/>
          <w:sz w:val="20"/>
        </w:rPr>
        <w:t>pvesm status</w:t>
      </w:r>
    </w:p>
    <w:p>
      <w:pPr>
        <w:spacing w:line="240" w:lineRule="auto"/>
        <w:ind w:left="720"/>
      </w:pPr>
      <w:r>
        <w:rPr>
          <w:rFonts w:ascii="Courier New" w:hAnsi="Courier New"/>
          <w:sz w:val="20"/>
        </w:rPr>
        <w:t>qm config 100; qm config 200; qm config 300; qm config 400</w:t>
      </w:r>
    </w:p>
    <w:p>
      <w:pPr>
        <w:spacing w:line="240" w:lineRule="auto"/>
        <w:ind w:left="720"/>
      </w:pPr>
      <w:r>
        <w:rPr>
          <w:rFonts w:ascii="Courier New" w:hAnsi="Courier New"/>
          <w:sz w:val="20"/>
        </w:rPr>
        <w:t>qm listsnapshot 100; qm listsnapshot 200; qm listsnapshot 300; qm listsnapshot 400</w:t>
      </w:r>
    </w:p>
    <w:p>
      <w:pPr>
        <w:spacing w:line="240" w:lineRule="auto"/>
        <w:ind w:left="720"/>
      </w:pPr>
      <w:r>
        <w:rPr>
          <w:rFonts w:ascii="Courier New" w:hAnsi="Courier New"/>
          <w:sz w:val="20"/>
        </w:rPr>
        <w:t>realm list</w:t>
      </w:r>
    </w:p>
    <w:p>
      <w:pPr>
        <w:spacing w:line="240" w:lineRule="auto"/>
        <w:ind w:left="720"/>
      </w:pPr>
      <w:r>
        <w:rPr>
          <w:rFonts w:ascii="Courier New" w:hAnsi="Courier New"/>
          <w:sz w:val="20"/>
        </w:rPr>
        <w:t>id jeremy.fontenot@ad.jeremyfontenot.online</w:t>
      </w:r>
    </w:p>
    <w:p>
      <w:pPr>
        <w:spacing w:line="240" w:lineRule="auto"/>
        <w:ind w:left="720"/>
      </w:pPr>
      <w:r>
        <w:rPr>
          <w:rFonts w:ascii="Courier New" w:hAnsi="Courier New"/>
          <w:sz w:val="20"/>
        </w:rPr>
        <w:t>getent passwd jeremy.fontenot@ad.jeremyfontenot.online</w:t>
      </w:r>
    </w:p>
    <w:p>
      <w:pPr>
        <w:spacing w:line="240" w:lineRule="auto"/>
        <w:ind w:left="720"/>
      </w:pPr>
      <w:r>
        <w:rPr>
          <w:rFonts w:ascii="Courier New" w:hAnsi="Courier New"/>
          <w:sz w:val="20"/>
        </w:rPr>
        <w:t>resolvectl status</w:t>
      </w:r>
    </w:p>
    <w:p>
      <w:pPr>
        <w:spacing w:line="240" w:lineRule="auto"/>
        <w:ind w:left="720"/>
      </w:pPr>
      <w:r>
        <w:rPr>
          <w:rFonts w:ascii="Courier New" w:hAnsi="Courier New"/>
          <w:sz w:val="20"/>
        </w:rPr>
        <w:t>klist</w:t>
      </w:r>
    </w:p>
    <w:p>
      <w:pPr>
        <w:spacing w:line="240" w:lineRule="auto"/>
        <w:ind w:left="720"/>
      </w:pPr>
      <w:r>
        <w:rPr>
          <w:rFonts w:ascii="Courier New" w:hAnsi="Courier New"/>
          <w:sz w:val="20"/>
        </w:rPr>
        <w:t>ufw status verbose</w:t>
      </w:r>
    </w:p>
    <w:p>
      <w:pPr>
        <w:spacing w:line="240" w:lineRule="auto"/>
        <w:ind w:left="720"/>
      </w:pPr>
      <w:r>
        <w:rPr>
          <w:rFonts w:ascii="Courier New" w:hAnsi="Courier New"/>
          <w:sz w:val="20"/>
        </w:rPr>
        <w:t>systemctl is-enabled ssh sssd qemu-guest-agent</w:t>
      </w:r>
    </w:p>
    <w:p>
      <w:pPr>
        <w:spacing w:line="240" w:lineRule="auto"/>
        <w:ind w:left="720"/>
      </w:pPr>
      <w:r>
        <w:rPr>
          <w:rFonts w:ascii="Courier New" w:hAnsi="Courier New"/>
          <w:sz w:val="20"/>
        </w:rPr>
        <w:t>systemctl is-active ssh sssd qemu-guest-agent</w:t>
      </w:r>
    </w:p>
    <w:p>
      <w:pPr>
        <w:spacing w:line="240" w:lineRule="auto"/>
        <w:ind w:left="720"/>
      </w:pPr>
      <w:r>
        <w:rPr>
          <w:rFonts w:ascii="Courier New" w:hAnsi="Courier New"/>
          <w:sz w:val="20"/>
        </w:rPr>
        <w:t>sha256sum linux01-evidence-2026-06-21.tar.gz</w:t>
      </w:r>
    </w:p>
    <w:sectPr w:rsidR="00FC693F" w:rsidRPr="0006063C" w:rsidSect="00034616">
      <w:headerReference w:type="default" r:id="rId9"/>
      <w:footerReference w:type="default" r:id="rI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Times New Roman" w:hAnsi="Times New Roman"/>
        <w:sz w:val="20"/>
      </w:rPr>
      <w:t>ON-PREMISES HOME LAB INFRASTRUCTURE VALIDATION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480" w:lineRule="auto" w:after="0"/>
    </w:pPr>
    <w:rPr>
      <w:rFonts w:ascii="Times New Roman" w:hAnsi="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120"/>
      <w:outlineLvl w:val="0"/>
    </w:pPr>
    <w:rPr>
      <w:rFonts w:asciiTheme="majorHAnsi" w:eastAsiaTheme="majorEastAsia" w:hAnsiTheme="majorHAnsi" w:cstheme="majorBidi" w:ascii="Times New Roman" w:hAnsi="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80"/>
      <w:outlineLvl w:val="1"/>
    </w:pPr>
    <w:rPr>
      <w:rFonts w:asciiTheme="majorHAnsi" w:eastAsiaTheme="majorEastAsia" w:hAnsiTheme="majorHAnsi" w:cstheme="majorBidi" w:ascii="Times New Roman" w:hAnsi="Times New Roman"/>
      <w:b/>
      <w:bCs/>
      <w:color w:val="4F81BD" w:themeColor="accent1"/>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FigureCaption">
    <w:name w:val="Figure Caption"/>
    <w:pPr>
      <w:spacing w:line="240" w:lineRule="auto" w:after="160"/>
    </w:pPr>
    <w:rPr>
      <w:rFonts w:ascii="Times New Roman" w:hAnsi="Times New Roman"/>
      <w: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On-Premises Home Lab Infrastructure Validation</dc:title>
  <dc:subject>Professional technical infrastructure documentation</dc:subject>
  <dc:creator>Jeremy Fontenot</dc:creator>
  <cp:keywords>Proxmox, pfSense, Active Directory, DNS, DHCP, Ubuntu, SSSD, Kerberos, backups</cp:keywords>
  <dc:description>Generated from command-validated evidence and retained screenshots.</dc:description>
  <cp:lastModifiedBy/>
  <cp:revision>1</cp:revision>
  <dcterms:created xsi:type="dcterms:W3CDTF">2013-12-23T23:15:00Z</dcterms:created>
  <dcterms:modified xsi:type="dcterms:W3CDTF">2013-12-23T23:15:00Z</dcterms:modified>
  <cp:category/>
</cp:coreProperties>
</file>